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593A0" w14:textId="69B468AC" w:rsidR="003A687A" w:rsidRPr="00696534" w:rsidRDefault="003A687A" w:rsidP="003A687A">
      <w:pPr>
        <w:pStyle w:val="3GPPHeader"/>
        <w:spacing w:after="60"/>
        <w:rPr>
          <w:sz w:val="32"/>
          <w:szCs w:val="32"/>
        </w:rPr>
      </w:pPr>
      <w:bookmarkStart w:id="0" w:name="_GoBack"/>
      <w:bookmarkEnd w:id="0"/>
      <w:r w:rsidRPr="00CE0424">
        <w:t>3GPP TSG-RAN WG</w:t>
      </w:r>
      <w:r>
        <w:t>1</w:t>
      </w:r>
      <w:r w:rsidRPr="00CE0424">
        <w:t xml:space="preserve"> </w:t>
      </w:r>
      <w:r>
        <w:t xml:space="preserve">Meeting </w:t>
      </w:r>
      <w:r w:rsidRPr="00CE0424">
        <w:t>#</w:t>
      </w:r>
      <w:r w:rsidRPr="004A2D98">
        <w:t>9</w:t>
      </w:r>
      <w:r w:rsidR="00DF2A20">
        <w:t>5</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DF2A20" w:rsidRPr="00DF2A20">
        <w:rPr>
          <w:sz w:val="32"/>
          <w:szCs w:val="32"/>
        </w:rPr>
        <w:t>1812159</w:t>
      </w:r>
    </w:p>
    <w:p w14:paraId="5BFD3D5C" w14:textId="509CA696" w:rsidR="003A687A" w:rsidRPr="00DF2A20" w:rsidRDefault="00DF2A20" w:rsidP="003A687A">
      <w:pPr>
        <w:pStyle w:val="3GPPHeader"/>
        <w:rPr>
          <w:bCs/>
        </w:rPr>
      </w:pPr>
      <w:r w:rsidRPr="00DF2A20">
        <w:rPr>
          <w:szCs w:val="24"/>
          <w:lang w:eastAsia="zh-CN"/>
        </w:rPr>
        <w:t>Spokane, USA, November 12</w:t>
      </w:r>
      <w:r w:rsidRPr="00DF2A20">
        <w:rPr>
          <w:b w:val="0"/>
          <w:szCs w:val="24"/>
          <w:vertAlign w:val="superscript"/>
          <w:lang w:eastAsia="zh-CN"/>
        </w:rPr>
        <w:t>th</w:t>
      </w:r>
      <w:r w:rsidRPr="00DF2A20">
        <w:rPr>
          <w:b w:val="0"/>
          <w:szCs w:val="24"/>
          <w:lang w:eastAsia="zh-CN"/>
        </w:rPr>
        <w:t xml:space="preserve"> </w:t>
      </w:r>
      <w:r w:rsidRPr="00DF2A20">
        <w:rPr>
          <w:szCs w:val="24"/>
          <w:lang w:eastAsia="zh-CN"/>
        </w:rPr>
        <w:t>– 16</w:t>
      </w:r>
      <w:r w:rsidRPr="00DF2A20">
        <w:rPr>
          <w:b w:val="0"/>
          <w:szCs w:val="24"/>
          <w:vertAlign w:val="superscript"/>
          <w:lang w:eastAsia="zh-CN"/>
        </w:rPr>
        <w:t>th</w:t>
      </w:r>
      <w:r w:rsidRPr="00DF2A20">
        <w:rPr>
          <w:szCs w:val="24"/>
          <w:lang w:eastAsia="zh-CN"/>
        </w:rPr>
        <w:t>, 2018</w:t>
      </w:r>
      <w:r w:rsidR="003A687A" w:rsidRPr="00DF2A20">
        <w:rPr>
          <w:bCs/>
        </w:rPr>
        <w:t xml:space="preserve"> </w:t>
      </w:r>
    </w:p>
    <w:p w14:paraId="1D27E344" w14:textId="79954A27" w:rsidR="003A687A" w:rsidRPr="00696534" w:rsidRDefault="003A687A" w:rsidP="003A687A">
      <w:pPr>
        <w:pStyle w:val="3GPPHeader"/>
        <w:rPr>
          <w:sz w:val="22"/>
        </w:rPr>
      </w:pPr>
      <w:r w:rsidRPr="00696534">
        <w:rPr>
          <w:sz w:val="22"/>
        </w:rPr>
        <w:t>Agenda Item:</w:t>
      </w:r>
      <w:r w:rsidRPr="00696534">
        <w:rPr>
          <w:sz w:val="22"/>
        </w:rPr>
        <w:tab/>
      </w:r>
      <w:r w:rsidR="00DF2A20" w:rsidRPr="00DF2A20">
        <w:rPr>
          <w:sz w:val="22"/>
        </w:rPr>
        <w:t>7.2.6.1.5</w:t>
      </w:r>
    </w:p>
    <w:p w14:paraId="1E467050" w14:textId="77777777" w:rsidR="003A687A" w:rsidRPr="00696534" w:rsidRDefault="003A687A" w:rsidP="003A687A">
      <w:pPr>
        <w:pStyle w:val="3GPPHeader"/>
        <w:rPr>
          <w:sz w:val="22"/>
        </w:rPr>
      </w:pPr>
      <w:r w:rsidRPr="00696534">
        <w:rPr>
          <w:sz w:val="22"/>
        </w:rPr>
        <w:t>Source:</w:t>
      </w:r>
      <w:r w:rsidRPr="00696534">
        <w:rPr>
          <w:sz w:val="22"/>
        </w:rPr>
        <w:tab/>
        <w:t>Ericsson</w:t>
      </w:r>
    </w:p>
    <w:p w14:paraId="0F4F60EB" w14:textId="5588AF8E" w:rsidR="003A687A" w:rsidRPr="00696534" w:rsidRDefault="003A687A" w:rsidP="003A687A">
      <w:pPr>
        <w:pStyle w:val="3GPPHeader"/>
        <w:rPr>
          <w:sz w:val="22"/>
        </w:rPr>
      </w:pPr>
      <w:r w:rsidRPr="00696534">
        <w:rPr>
          <w:sz w:val="22"/>
        </w:rPr>
        <w:t>Title:</w:t>
      </w:r>
      <w:r w:rsidRPr="00696534">
        <w:rPr>
          <w:sz w:val="22"/>
        </w:rPr>
        <w:tab/>
      </w:r>
      <w:r w:rsidRPr="003A687A">
        <w:rPr>
          <w:sz w:val="22"/>
        </w:rPr>
        <w:t>Transmit Diversity for Rel-16 URLLC</w:t>
      </w:r>
    </w:p>
    <w:p w14:paraId="7345BF28" w14:textId="77777777" w:rsidR="003A687A" w:rsidRPr="00CE0424" w:rsidRDefault="003A687A" w:rsidP="003A687A">
      <w:pPr>
        <w:pStyle w:val="3GPPHeader"/>
        <w:rPr>
          <w:sz w:val="22"/>
        </w:rPr>
      </w:pPr>
      <w:r w:rsidRPr="00696534">
        <w:rPr>
          <w:sz w:val="22"/>
        </w:rPr>
        <w:t>Document for:</w:t>
      </w:r>
      <w:r w:rsidRPr="00696534">
        <w:rPr>
          <w:sz w:val="22"/>
        </w:rPr>
        <w:tab/>
        <w:t>Discussion, Decision</w:t>
      </w:r>
    </w:p>
    <w:p w14:paraId="65062EEC" w14:textId="77777777" w:rsidR="00E90E49" w:rsidRPr="00CE0424" w:rsidRDefault="00E90E49" w:rsidP="00CE0424">
      <w:pPr>
        <w:pStyle w:val="Heading1"/>
      </w:pPr>
      <w:r w:rsidRPr="00CE0424">
        <w:t>Introduction</w:t>
      </w:r>
    </w:p>
    <w:p w14:paraId="3626442C" w14:textId="1E3D5D1F" w:rsidR="006962DF" w:rsidRPr="0063438F" w:rsidRDefault="00B34C69" w:rsidP="00CE0424">
      <w:pPr>
        <w:pStyle w:val="BodyText"/>
      </w:pPr>
      <w:r w:rsidRPr="0063438F">
        <w:t>According to</w:t>
      </w:r>
      <w:r w:rsidR="00DC1614">
        <w:t xml:space="preserve"> </w:t>
      </w:r>
      <w:proofErr w:type="spellStart"/>
      <w:r w:rsidR="00DC1614">
        <w:t>eURLLC</w:t>
      </w:r>
      <w:proofErr w:type="spellEnd"/>
      <w:r w:rsidR="00DC1614">
        <w:t xml:space="preserve"> study item description </w:t>
      </w:r>
      <w:r w:rsidRPr="0063438F">
        <w:t xml:space="preserve">[1], </w:t>
      </w:r>
      <w:r w:rsidR="00DC1614">
        <w:t>and latest agreements made on RAN1#94</w:t>
      </w:r>
      <w:r w:rsidR="00DF2A20">
        <w:t>bis</w:t>
      </w:r>
      <w:r w:rsidR="00DC1614">
        <w:t xml:space="preserve"> [2], UL reliability enhancements are in focus of RAN1. </w:t>
      </w:r>
      <w:r w:rsidR="001E5C09" w:rsidRPr="0063438F">
        <w:t xml:space="preserve">In this </w:t>
      </w:r>
      <w:r w:rsidR="00DC1614">
        <w:t>paper</w:t>
      </w:r>
      <w:r w:rsidR="001E5C09" w:rsidRPr="0063438F">
        <w:t xml:space="preserve">, we discuss </w:t>
      </w:r>
      <w:r w:rsidR="00DC1614">
        <w:t xml:space="preserve">different techniques for further improvement of PUSCH and PUCCH reliability by </w:t>
      </w:r>
      <w:r w:rsidR="001E5C09" w:rsidRPr="0063438F">
        <w:t>transmit diversity schemes</w:t>
      </w:r>
      <w:r w:rsidR="00DC1614">
        <w:t xml:space="preserve">. The set of simulation results shows possible gains one can get by using these schemes for </w:t>
      </w:r>
      <w:proofErr w:type="spellStart"/>
      <w:r w:rsidR="00DC1614">
        <w:t>eURLLC</w:t>
      </w:r>
      <w:proofErr w:type="spellEnd"/>
      <w:r w:rsidR="00DC1614">
        <w:t>.</w:t>
      </w:r>
    </w:p>
    <w:p w14:paraId="5925009D" w14:textId="7EFB3918" w:rsidR="004000E8" w:rsidRPr="00CE0424" w:rsidRDefault="004000E8" w:rsidP="00CE0424">
      <w:pPr>
        <w:pStyle w:val="Heading1"/>
      </w:pPr>
      <w:bookmarkStart w:id="1" w:name="_Ref178064866"/>
      <w:r w:rsidRPr="00CE0424">
        <w:t>Discussion</w:t>
      </w:r>
      <w:bookmarkEnd w:id="1"/>
    </w:p>
    <w:p w14:paraId="73F216DA" w14:textId="25F1A929" w:rsidR="006E7835" w:rsidRDefault="00AC7330" w:rsidP="00F56165">
      <w:r>
        <w:t xml:space="preserve">In new </w:t>
      </w:r>
      <w:proofErr w:type="spellStart"/>
      <w:r>
        <w:t>eURLLC</w:t>
      </w:r>
      <w:proofErr w:type="spellEnd"/>
      <w:r>
        <w:t xml:space="preserve"> study item </w:t>
      </w:r>
      <w:r w:rsidR="000C2271">
        <w:t>the</w:t>
      </w:r>
      <w:r w:rsidR="000C2271" w:rsidRPr="000C2271">
        <w:t xml:space="preserve"> different requirements </w:t>
      </w:r>
      <w:r w:rsidR="00DA4EFA">
        <w:t xml:space="preserve">are </w:t>
      </w:r>
      <w:r w:rsidR="000C2271" w:rsidRPr="000C2271">
        <w:t>potentially stricter than</w:t>
      </w:r>
      <w:r w:rsidR="00DA4EFA">
        <w:t xml:space="preserve"> the</w:t>
      </w:r>
      <w:r w:rsidR="000C2271" w:rsidRPr="000C2271">
        <w:t xml:space="preserve"> ones considered in Rel-15. For example, some of the use cases considered in Rel. 16 may require reliability on the level of </w:t>
      </w:r>
      <m:oMath>
        <m:sSup>
          <m:sSupPr>
            <m:ctrlPr>
              <w:rPr>
                <w:rFonts w:ascii="Cambria Math" w:hAnsi="Cambria Math"/>
                <w:i/>
              </w:rPr>
            </m:ctrlPr>
          </m:sSupPr>
          <m:e>
            <m:r>
              <w:rPr>
                <w:rFonts w:ascii="Cambria Math" w:hAnsi="Cambria Math"/>
              </w:rPr>
              <m:t>1-10</m:t>
            </m:r>
          </m:e>
          <m:sup>
            <m:r>
              <w:rPr>
                <w:rFonts w:ascii="Cambria Math" w:hAnsi="Cambria Math"/>
              </w:rPr>
              <m:t>-6</m:t>
            </m:r>
          </m:sup>
        </m:sSup>
        <m:r>
          <w:rPr>
            <w:rFonts w:ascii="Cambria Math" w:hAnsi="Cambria Math"/>
          </w:rPr>
          <m:t xml:space="preserve"> </m:t>
        </m:r>
      </m:oMath>
      <w:r w:rsidR="000C2271" w:rsidRPr="000C2271">
        <w:t>and RAN latency on the level of 0.5 to 1 ms</w:t>
      </w:r>
      <w:r w:rsidR="00AA37EF" w:rsidRPr="0063438F">
        <w:t>.</w:t>
      </w:r>
      <w:r w:rsidR="00AA37EF" w:rsidRPr="00AA37EF">
        <w:t xml:space="preserve"> </w:t>
      </w:r>
      <w:r w:rsidR="00AA37EF">
        <w:t>D</w:t>
      </w:r>
      <w:r w:rsidR="00AA37EF" w:rsidRPr="00F56165">
        <w:t xml:space="preserve">iversity is the key element to achieve </w:t>
      </w:r>
      <w:r w:rsidR="00AA37EF">
        <w:t>such strict reliability requirements.</w:t>
      </w:r>
    </w:p>
    <w:p w14:paraId="1FEBAA34" w14:textId="7BE9F216" w:rsidR="00B41BC4" w:rsidRDefault="000C2271" w:rsidP="00DE1F14">
      <w:r>
        <w:t xml:space="preserve">Due to </w:t>
      </w:r>
      <w:r w:rsidR="00DA4EFA">
        <w:t xml:space="preserve">the </w:t>
      </w:r>
      <w:r>
        <w:t>strict latency requirements, there is no time for many retransmissions and in many cases</w:t>
      </w:r>
      <w:r w:rsidR="00DA4EFA">
        <w:t>. For example,</w:t>
      </w:r>
      <w:r>
        <w:t xml:space="preserve"> in TDD case and low numerology</w:t>
      </w:r>
      <w:r w:rsidR="00DA4EFA">
        <w:t xml:space="preserve"> (e.g., 15 kHz SCS)</w:t>
      </w:r>
      <w:r>
        <w:t xml:space="preserve">, there is time only for one transmission attempt in radio interface. With </w:t>
      </w:r>
      <w:r w:rsidR="00DA4EFA">
        <w:t xml:space="preserve">the </w:t>
      </w:r>
      <w:r>
        <w:t xml:space="preserve">new MCS table </w:t>
      </w:r>
      <w:r w:rsidR="00DA4EFA">
        <w:t xml:space="preserve">introduced in Rel-15, </w:t>
      </w:r>
      <w:r>
        <w:t xml:space="preserve">we have an opportunity to </w:t>
      </w:r>
      <w:r w:rsidR="00DE1F14">
        <w:t>use low channel coding rate, but this way is obviously less efficient spectrum-wise th</w:t>
      </w:r>
      <w:r w:rsidR="00865D07">
        <w:t>a</w:t>
      </w:r>
      <w:r w:rsidR="00DE1F14">
        <w:t xml:space="preserve">n antenna diversity techniques. </w:t>
      </w:r>
      <w:r w:rsidR="00865D07">
        <w:t xml:space="preserve">Transmit diversity technique </w:t>
      </w:r>
      <w:r w:rsidR="007657D1">
        <w:t>operates</w:t>
      </w:r>
      <w:r w:rsidR="00F56165" w:rsidRPr="00F56165">
        <w:t xml:space="preserve"> without </w:t>
      </w:r>
      <w:r w:rsidR="007657D1">
        <w:t>the need</w:t>
      </w:r>
      <w:r w:rsidR="00F56165" w:rsidRPr="00F56165">
        <w:t xml:space="preserve"> </w:t>
      </w:r>
      <w:r w:rsidR="007657D1">
        <w:t>of</w:t>
      </w:r>
      <w:r w:rsidR="00F56165" w:rsidRPr="00F56165">
        <w:t xml:space="preserve"> channel state information at the transmitter</w:t>
      </w:r>
      <w:r w:rsidR="007657D1">
        <w:t xml:space="preserve"> which</w:t>
      </w:r>
      <w:r w:rsidR="00AA37EF">
        <w:t xml:space="preserve"> can be</w:t>
      </w:r>
      <w:r w:rsidR="00F56165" w:rsidRPr="00F56165">
        <w:t xml:space="preserve"> relevant for URLLC when the reliability of CSI itself </w:t>
      </w:r>
      <w:proofErr w:type="gramStart"/>
      <w:r w:rsidR="00F56165" w:rsidRPr="00F56165">
        <w:t>may be an issue</w:t>
      </w:r>
      <w:proofErr w:type="gramEnd"/>
      <w:r w:rsidR="00F56165" w:rsidRPr="00F56165">
        <w:t xml:space="preserve">. In this contribution, we provide </w:t>
      </w:r>
      <w:r w:rsidR="00DE1F14">
        <w:t>simulation</w:t>
      </w:r>
      <w:r w:rsidR="00F56165" w:rsidRPr="00F56165">
        <w:t xml:space="preserve"> results of transmit diversity for high reliability use cases/URLLC, e.g., </w:t>
      </w:r>
      <w:r w:rsidR="00857CBD" w:rsidRPr="0063438F">
        <w:t>CDD</w:t>
      </w:r>
      <w:r w:rsidR="00857CBD" w:rsidDel="00857CBD">
        <w:t xml:space="preserve"> </w:t>
      </w:r>
      <w:r w:rsidR="00B41BC4">
        <w:t>for P</w:t>
      </w:r>
      <w:r>
        <w:t>U</w:t>
      </w:r>
      <w:r w:rsidR="00B41BC4">
        <w:t>SCH</w:t>
      </w:r>
      <w:r w:rsidR="00B41BC4" w:rsidDel="00857CBD">
        <w:t xml:space="preserve"> </w:t>
      </w:r>
      <w:r w:rsidR="00B41BC4">
        <w:t xml:space="preserve">and </w:t>
      </w:r>
      <w:r w:rsidR="00F90AAF">
        <w:t>SFBC</w:t>
      </w:r>
      <w:r w:rsidR="00B41BC4">
        <w:t>/CDD</w:t>
      </w:r>
      <w:r w:rsidR="00F90AAF">
        <w:t xml:space="preserve"> for short PUCCH</w:t>
      </w:r>
      <w:r w:rsidR="00B41BC4">
        <w:t>.</w:t>
      </w:r>
    </w:p>
    <w:p w14:paraId="479E1E86" w14:textId="092AE0FF" w:rsidR="00B41BC4" w:rsidRDefault="00B41BC4" w:rsidP="00B41BC4">
      <w:pPr>
        <w:pStyle w:val="Heading2"/>
      </w:pPr>
      <w:r>
        <w:t>Cyclic delay diversity for P</w:t>
      </w:r>
      <w:r w:rsidR="000C2271">
        <w:t>U</w:t>
      </w:r>
      <w:r>
        <w:t>SCH</w:t>
      </w:r>
    </w:p>
    <w:p w14:paraId="1805E2AF" w14:textId="58F92B54" w:rsidR="00B41BC4" w:rsidRPr="00F56165" w:rsidRDefault="00B41BC4" w:rsidP="00B41BC4">
      <w:r w:rsidRPr="00F56165">
        <w:t xml:space="preserve">Cyclic delay diversity (CDD) is a simple transmit diversity scheme that involves creating extra copies of the transmit signal with some delay. For two transmit antennas, the main idea is to perform cyclic-shift of the original time-domain transmit signal or equivalently phase-shift of the original frequency-domain transmit signal to create another copy of the signal. The cyclic-shifted copy is then transmitted over another transmit antenna. This creates additional degree of frequency selectivity of the effective channel experienced by the two copies and seen by the receiver and thus provides additional frequency diversity. CDD can be straightforwardly extended to </w:t>
      </w:r>
      <w:r w:rsidR="00865D07">
        <w:t>more than two</w:t>
      </w:r>
      <w:r w:rsidR="00865D07" w:rsidRPr="00F56165">
        <w:t xml:space="preserve"> </w:t>
      </w:r>
      <w:r w:rsidRPr="00F56165">
        <w:t xml:space="preserve">transmit antennas using different cyclic shifts for each antenna. The scheme is of low complexity and is also transparent to the receiver. Depending on the cyclic delay value, there can be a </w:t>
      </w:r>
      <w:proofErr w:type="spellStart"/>
      <w:r w:rsidRPr="00F56165">
        <w:t>tradeoff</w:t>
      </w:r>
      <w:proofErr w:type="spellEnd"/>
      <w:r w:rsidRPr="00F56165">
        <w:t xml:space="preserve"> between frequency diversity gain and the channel estimation performance. In LTE, large cyclic delay diversity is specified for transmission mode 3.</w:t>
      </w:r>
    </w:p>
    <w:p w14:paraId="43177E05" w14:textId="77777777" w:rsidR="00B41BC4" w:rsidRPr="00F56165" w:rsidRDefault="00B41BC4" w:rsidP="00B41BC4"/>
    <w:p w14:paraId="774A4C05" w14:textId="494DB0BB" w:rsidR="00B41BC4" w:rsidRDefault="00DE1F14" w:rsidP="00B41BC4">
      <w:r>
        <w:t xml:space="preserve">The simulation results are presented below, while assumption can be found in section 5.1. </w:t>
      </w:r>
      <w:r w:rsidR="00B41BC4">
        <w:t xml:space="preserve">We compare CDD scheme with the scheme that uses a simple precoder which duplicates symbols over the second transmit antenna with power scaling (denoted by “no CDD”) for different channel models, e.g., TDL-C 10ns, 30ns, 300ns with UE speed 3 kmph. Due to uncorrelated antenna assumption, the “no CDD” scheme is also equivalent to the scheme with 1 TX antenna. </w:t>
      </w:r>
    </w:p>
    <w:p w14:paraId="78536395" w14:textId="77777777" w:rsidR="00B41BC4" w:rsidRDefault="00B41BC4" w:rsidP="00B41BC4">
      <w:r>
        <w:rPr>
          <w:noProof/>
        </w:rPr>
        <w:lastRenderedPageBreak/>
        <w:drawing>
          <wp:inline distT="0" distB="0" distL="0" distR="0" wp14:anchorId="30328817" wp14:editId="1D9B9746">
            <wp:extent cx="3039099" cy="2027208"/>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os_TDLC10n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59514" cy="2040826"/>
                    </a:xfrm>
                    <a:prstGeom prst="rect">
                      <a:avLst/>
                    </a:prstGeom>
                  </pic:spPr>
                </pic:pic>
              </a:graphicData>
            </a:graphic>
          </wp:inline>
        </w:drawing>
      </w:r>
      <w:r>
        <w:rPr>
          <w:noProof/>
        </w:rPr>
        <w:drawing>
          <wp:inline distT="0" distB="0" distL="0" distR="0" wp14:anchorId="750725C1" wp14:editId="2E404856">
            <wp:extent cx="3039098" cy="2027208"/>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os_TDLC10n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48941" cy="2033774"/>
                    </a:xfrm>
                    <a:prstGeom prst="rect">
                      <a:avLst/>
                    </a:prstGeom>
                  </pic:spPr>
                </pic:pic>
              </a:graphicData>
            </a:graphic>
          </wp:inline>
        </w:drawing>
      </w:r>
    </w:p>
    <w:p w14:paraId="3220506D" w14:textId="77777777" w:rsidR="00B41BC4" w:rsidRDefault="00B41BC4" w:rsidP="00B41BC4">
      <w:pPr>
        <w:jc w:val="center"/>
        <w:rPr>
          <w:b/>
        </w:rPr>
      </w:pPr>
      <w:r w:rsidRPr="00410256">
        <w:rPr>
          <w:b/>
        </w:rPr>
        <w:t>Figure 1: Performance comparison between CDD</w:t>
      </w:r>
      <w:r>
        <w:rPr>
          <w:b/>
        </w:rPr>
        <w:t xml:space="preserve"> and </w:t>
      </w:r>
      <w:r w:rsidRPr="00410256">
        <w:rPr>
          <w:b/>
        </w:rPr>
        <w:t>simple precoder schemes for TDLC-10ns.</w:t>
      </w:r>
    </w:p>
    <w:p w14:paraId="1CBA44D6" w14:textId="77777777" w:rsidR="00B41BC4" w:rsidRDefault="00B41BC4" w:rsidP="00B41BC4">
      <w:pPr>
        <w:jc w:val="center"/>
        <w:rPr>
          <w:b/>
        </w:rPr>
      </w:pPr>
    </w:p>
    <w:p w14:paraId="30EF740D" w14:textId="41A686BA" w:rsidR="00B41BC4" w:rsidRPr="00410256" w:rsidRDefault="00B41BC4" w:rsidP="00B41BC4">
      <w:pPr>
        <w:rPr>
          <w:b/>
        </w:rPr>
      </w:pPr>
      <w:r>
        <w:rPr>
          <w:b/>
          <w:noProof/>
        </w:rPr>
        <w:drawing>
          <wp:inline distT="0" distB="0" distL="0" distR="0" wp14:anchorId="7323E262" wp14:editId="31AAAF6F">
            <wp:extent cx="3079115" cy="2053903"/>
            <wp:effectExtent l="0" t="0" r="698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7os_TDLC30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94370" cy="2064079"/>
                    </a:xfrm>
                    <a:prstGeom prst="rect">
                      <a:avLst/>
                    </a:prstGeom>
                  </pic:spPr>
                </pic:pic>
              </a:graphicData>
            </a:graphic>
          </wp:inline>
        </w:drawing>
      </w:r>
      <w:r w:rsidR="00980B8C">
        <w:rPr>
          <w:b/>
          <w:noProof/>
        </w:rPr>
        <w:drawing>
          <wp:inline distT="0" distB="0" distL="0" distR="0" wp14:anchorId="2C8B720D" wp14:editId="0847CF03">
            <wp:extent cx="3027872" cy="20197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os_TDLC30n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39977" cy="2027796"/>
                    </a:xfrm>
                    <a:prstGeom prst="rect">
                      <a:avLst/>
                    </a:prstGeom>
                  </pic:spPr>
                </pic:pic>
              </a:graphicData>
            </a:graphic>
          </wp:inline>
        </w:drawing>
      </w:r>
    </w:p>
    <w:p w14:paraId="6D43D3F0" w14:textId="77777777" w:rsidR="00B41BC4" w:rsidRDefault="00B41BC4" w:rsidP="00B41BC4">
      <w:pPr>
        <w:jc w:val="center"/>
        <w:rPr>
          <w:b/>
        </w:rPr>
      </w:pPr>
      <w:r w:rsidRPr="00410256">
        <w:rPr>
          <w:b/>
        </w:rPr>
        <w:t>Figure 2: Performance comparison between CDD</w:t>
      </w:r>
      <w:r>
        <w:rPr>
          <w:b/>
        </w:rPr>
        <w:t xml:space="preserve"> and simple precoder </w:t>
      </w:r>
      <w:r w:rsidRPr="00410256">
        <w:rPr>
          <w:b/>
        </w:rPr>
        <w:t>schemes for TDLC-30ns.</w:t>
      </w:r>
    </w:p>
    <w:p w14:paraId="5E268763" w14:textId="0F4F3733" w:rsidR="00B41BC4" w:rsidRDefault="00B41BC4" w:rsidP="00B41BC4">
      <w:pPr>
        <w:jc w:val="center"/>
        <w:rPr>
          <w:b/>
        </w:rPr>
      </w:pPr>
    </w:p>
    <w:p w14:paraId="6D0566A2" w14:textId="67714E60" w:rsidR="00084978" w:rsidRPr="00410256" w:rsidRDefault="00CC1744" w:rsidP="00CC1744">
      <w:pPr>
        <w:rPr>
          <w:b/>
        </w:rPr>
      </w:pPr>
      <w:r>
        <w:rPr>
          <w:b/>
          <w:noProof/>
        </w:rPr>
        <w:drawing>
          <wp:inline distT="0" distB="0" distL="0" distR="0" wp14:anchorId="00D8A6E0" wp14:editId="27F8C8F2">
            <wp:extent cx="3051175" cy="203526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os_TDLC300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69163" cy="2047263"/>
                    </a:xfrm>
                    <a:prstGeom prst="rect">
                      <a:avLst/>
                    </a:prstGeom>
                  </pic:spPr>
                </pic:pic>
              </a:graphicData>
            </a:graphic>
          </wp:inline>
        </w:drawing>
      </w:r>
      <w:r w:rsidR="00084978">
        <w:rPr>
          <w:b/>
          <w:noProof/>
        </w:rPr>
        <w:drawing>
          <wp:inline distT="0" distB="0" distL="0" distR="0" wp14:anchorId="38339FB3" wp14:editId="79C9F190">
            <wp:extent cx="3027734" cy="201963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os_TDLC300n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44967" cy="2031126"/>
                    </a:xfrm>
                    <a:prstGeom prst="rect">
                      <a:avLst/>
                    </a:prstGeom>
                  </pic:spPr>
                </pic:pic>
              </a:graphicData>
            </a:graphic>
          </wp:inline>
        </w:drawing>
      </w:r>
    </w:p>
    <w:p w14:paraId="0724BBB5" w14:textId="77777777" w:rsidR="00B41BC4" w:rsidRPr="00410256" w:rsidRDefault="00B41BC4" w:rsidP="00B41BC4">
      <w:pPr>
        <w:jc w:val="center"/>
        <w:rPr>
          <w:b/>
        </w:rPr>
      </w:pPr>
      <w:r w:rsidRPr="00410256">
        <w:rPr>
          <w:b/>
        </w:rPr>
        <w:t xml:space="preserve">Figure 3: Performance comparison between </w:t>
      </w:r>
      <w:r>
        <w:rPr>
          <w:b/>
        </w:rPr>
        <w:t>CDD and</w:t>
      </w:r>
      <w:r w:rsidRPr="00410256">
        <w:rPr>
          <w:b/>
        </w:rPr>
        <w:t xml:space="preserve"> simple precoder schemes for TDLC-300ns.</w:t>
      </w:r>
    </w:p>
    <w:p w14:paraId="2741C0F5" w14:textId="77777777" w:rsidR="00B41BC4" w:rsidRPr="00367175" w:rsidRDefault="00B41BC4" w:rsidP="00B41BC4"/>
    <w:p w14:paraId="2094454E" w14:textId="77777777" w:rsidR="00B41BC4" w:rsidRPr="00367175" w:rsidRDefault="00B41BC4" w:rsidP="00B41BC4">
      <w:r>
        <w:t xml:space="preserve">From results in Figures 1-3, we see that CDD provides performance gain especially at low BLER. The gain is significant when the channel is relatively flat, e.g., at delay spread values of 10 or 30 ns. This is expected since for the frequency flat channel, CDD can create extra frequency selectivity and thus provide additional frequency diversity. The gain is less apparent for channel with high delay spread due to the abundance of frequency selectivity of the channel itself. </w:t>
      </w:r>
    </w:p>
    <w:p w14:paraId="7333940E" w14:textId="77777777" w:rsidR="00B41BC4" w:rsidRPr="00367175" w:rsidRDefault="00B41BC4" w:rsidP="00B41BC4"/>
    <w:p w14:paraId="1CC3CB4F" w14:textId="2A532152" w:rsidR="00B41BC4" w:rsidRPr="0063438F" w:rsidRDefault="00C048CA" w:rsidP="00B41BC4">
      <w:pPr>
        <w:pStyle w:val="Observation"/>
      </w:pPr>
      <w:bookmarkStart w:id="2" w:name="_Toc498432975"/>
      <w:bookmarkStart w:id="3" w:name="_Toc498506378"/>
      <w:bookmarkStart w:id="4" w:name="_Toc525929799"/>
      <w:bookmarkStart w:id="5" w:name="_Toc525929803"/>
      <w:bookmarkStart w:id="6" w:name="_Toc525931268"/>
      <w:bookmarkStart w:id="7" w:name="_Toc525946076"/>
      <w:r>
        <w:lastRenderedPageBreak/>
        <w:t>CDD t</w:t>
      </w:r>
      <w:r w:rsidR="00B41BC4" w:rsidRPr="0063438F">
        <w:t xml:space="preserve">ransmit diversity </w:t>
      </w:r>
      <w:r>
        <w:t xml:space="preserve">scheme </w:t>
      </w:r>
      <w:r w:rsidR="00B41BC4" w:rsidRPr="0063438F">
        <w:t>provide</w:t>
      </w:r>
      <w:r>
        <w:t>s</w:t>
      </w:r>
      <w:r w:rsidR="00B41BC4" w:rsidRPr="0063438F">
        <w:t xml:space="preserve"> performance gain at low BLER especially when </w:t>
      </w:r>
      <w:r w:rsidR="0070528D">
        <w:t xml:space="preserve">the </w:t>
      </w:r>
      <w:r w:rsidR="00B41BC4" w:rsidRPr="0063438F">
        <w:t>channel</w:t>
      </w:r>
      <w:bookmarkEnd w:id="2"/>
      <w:bookmarkEnd w:id="3"/>
      <w:r w:rsidR="0070528D">
        <w:t xml:space="preserve"> is flat</w:t>
      </w:r>
      <w:r w:rsidR="00980B8C" w:rsidRPr="0063438F">
        <w:t>.</w:t>
      </w:r>
      <w:bookmarkEnd w:id="4"/>
      <w:bookmarkEnd w:id="5"/>
      <w:bookmarkEnd w:id="6"/>
      <w:bookmarkEnd w:id="7"/>
    </w:p>
    <w:p w14:paraId="00E0114C" w14:textId="77777777" w:rsidR="00B41BC4" w:rsidRPr="0063438F" w:rsidRDefault="00B41BC4" w:rsidP="00F56165"/>
    <w:p w14:paraId="7117DB0A" w14:textId="14DA0AA5" w:rsidR="00F90AAF" w:rsidRDefault="00F90AAF" w:rsidP="00F90AAF">
      <w:pPr>
        <w:pStyle w:val="Heading2"/>
      </w:pPr>
      <w:r>
        <w:t xml:space="preserve">SFBC or </w:t>
      </w:r>
      <w:r w:rsidR="00857CBD">
        <w:t xml:space="preserve">CDD </w:t>
      </w:r>
      <w:r>
        <w:t>for PUCCH</w:t>
      </w:r>
    </w:p>
    <w:p w14:paraId="43C34871" w14:textId="70CFF3EB" w:rsidR="00857CBD" w:rsidRDefault="00857CBD" w:rsidP="00857CBD">
      <w:r>
        <w:t xml:space="preserve">For UCI of more than 2 bits, natural candidates are SFBC, i.e., </w:t>
      </w:r>
      <w:proofErr w:type="spellStart"/>
      <w:r>
        <w:t>Alamouti</w:t>
      </w:r>
      <w:proofErr w:type="spellEnd"/>
      <w:r>
        <w:t xml:space="preserve"> in frequency, and C</w:t>
      </w:r>
      <w:r w:rsidR="00136C0B">
        <w:t>D</w:t>
      </w:r>
      <w:r>
        <w:t>D. SFBC is limited in two transmit antennas, given that for more antennas, the optimal designs have an effective rate that is less than 1 QAM symbol/RE. On the other hand, the intention with C</w:t>
      </w:r>
      <w:r w:rsidR="001B10D2">
        <w:t>D</w:t>
      </w:r>
      <w:r>
        <w:t xml:space="preserve">D, as mentioned previously, is to induce independent fading and a nice property is that the design is not restricted by the number of transmit antennas. </w:t>
      </w:r>
      <w:r w:rsidR="00DE1F14">
        <w:t>The simulation assumption can be found in section 5.2.</w:t>
      </w:r>
    </w:p>
    <w:p w14:paraId="34487B06" w14:textId="1D9013F7" w:rsidR="00136C0B" w:rsidRPr="0063438F" w:rsidRDefault="00136C0B" w:rsidP="00F90AAF">
      <w:r w:rsidRPr="0063438F">
        <w:t xml:space="preserve">In following two figures, we see the performance comparison, of two candidate diversity techniques, namely SFBC and CDD. </w:t>
      </w:r>
      <w:proofErr w:type="gramStart"/>
      <w:r w:rsidRPr="0063438F">
        <w:t>It can be seen that at</w:t>
      </w:r>
      <w:proofErr w:type="gramEnd"/>
      <w:r w:rsidRPr="0063438F">
        <w:t xml:space="preserve"> low SNR the performance is the same for both diversity schemes. However, at higher SNR values, SFBC outperforms CDD in the whole SNR range. Based on these results we decide, in the following, to focus only on SFBC and compare it with single </w:t>
      </w:r>
      <w:proofErr w:type="spellStart"/>
      <w:r w:rsidRPr="0063438F">
        <w:t>tx</w:t>
      </w:r>
      <w:proofErr w:type="spellEnd"/>
      <w:r w:rsidRPr="0063438F">
        <w:t>-antenna transmission.</w:t>
      </w:r>
    </w:p>
    <w:p w14:paraId="6F7F1B31" w14:textId="557C18D0" w:rsidR="00136C0B" w:rsidRPr="0063438F" w:rsidRDefault="00136C0B" w:rsidP="00136C0B">
      <w:pPr>
        <w:pStyle w:val="Observation"/>
      </w:pPr>
      <w:bookmarkStart w:id="8" w:name="_Toc498506379"/>
      <w:bookmarkStart w:id="9" w:name="_Toc525929800"/>
      <w:bookmarkStart w:id="10" w:name="_Toc525929804"/>
      <w:bookmarkStart w:id="11" w:name="_Toc525931269"/>
      <w:bookmarkStart w:id="12" w:name="_Toc525946077"/>
      <w:r w:rsidRPr="0063438F">
        <w:t xml:space="preserve">SFBC </w:t>
      </w:r>
      <w:r w:rsidR="0070528D">
        <w:t>shows better performance th</w:t>
      </w:r>
      <w:r w:rsidR="00DA4EFA">
        <w:t>a</w:t>
      </w:r>
      <w:r w:rsidR="0070528D">
        <w:t>n</w:t>
      </w:r>
      <w:r w:rsidRPr="0063438F">
        <w:t xml:space="preserve"> CDD for medium payload transmission in s</w:t>
      </w:r>
      <w:r w:rsidR="00C73931" w:rsidRPr="0063438F">
        <w:t xml:space="preserve">hort </w:t>
      </w:r>
      <w:r w:rsidRPr="0063438F">
        <w:t>PUCCH.</w:t>
      </w:r>
      <w:bookmarkEnd w:id="8"/>
      <w:bookmarkEnd w:id="9"/>
      <w:bookmarkEnd w:id="10"/>
      <w:bookmarkEnd w:id="11"/>
      <w:bookmarkEnd w:id="12"/>
    </w:p>
    <w:p w14:paraId="7664FF76" w14:textId="77777777" w:rsidR="00136C0B" w:rsidRPr="0063438F" w:rsidRDefault="00136C0B" w:rsidP="00136C0B">
      <w:pPr>
        <w:pStyle w:val="Caption"/>
        <w:sectPr w:rsidR="00136C0B" w:rsidRPr="0063438F">
          <w:footnotePr>
            <w:numRestart w:val="eachSect"/>
          </w:footnotePr>
          <w:pgSz w:w="11907" w:h="16840" w:code="9"/>
          <w:pgMar w:top="1418" w:right="1134" w:bottom="1134" w:left="1134" w:header="680" w:footer="567" w:gutter="0"/>
          <w:cols w:space="720"/>
        </w:sectPr>
      </w:pPr>
    </w:p>
    <w:p w14:paraId="457E7F3E" w14:textId="748BCDA9" w:rsidR="00136C0B" w:rsidRDefault="00BF6A99" w:rsidP="00136C0B">
      <w:pPr>
        <w:pStyle w:val="Caption"/>
        <w:jc w:val="both"/>
      </w:pPr>
      <w:r w:rsidRPr="00BF6A99">
        <w:rPr>
          <w:noProof/>
        </w:rPr>
        <w:drawing>
          <wp:inline distT="0" distB="0" distL="0" distR="0" wp14:anchorId="698C5896" wp14:editId="065100FF">
            <wp:extent cx="2918128" cy="24762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3188" t="4843" r="8391" b="188"/>
                    <a:stretch/>
                  </pic:blipFill>
                  <pic:spPr bwMode="auto">
                    <a:xfrm>
                      <a:off x="0" y="0"/>
                      <a:ext cx="2923010" cy="2480343"/>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t xml:space="preserve">Figure </w:t>
      </w:r>
      <w:r w:rsidR="00136C0B">
        <w:fldChar w:fldCharType="begin"/>
      </w:r>
      <w:r w:rsidR="00136C0B" w:rsidRPr="00B0209B">
        <w:instrText xml:space="preserve"> SEQ Figure \* ARABIC </w:instrText>
      </w:r>
      <w:r w:rsidR="00136C0B">
        <w:fldChar w:fldCharType="separate"/>
      </w:r>
      <w:r w:rsidR="00D90B62">
        <w:rPr>
          <w:noProof/>
        </w:rPr>
        <w:t>1</w:t>
      </w:r>
      <w:r w:rsidR="00136C0B">
        <w:fldChar w:fldCharType="end"/>
      </w:r>
      <w:r w:rsidR="00136C0B" w:rsidRPr="00B0209B">
        <w:t xml:space="preserve">: </w:t>
      </w:r>
      <w:r w:rsidR="00136C0B">
        <w:t>Performance comparison of diversity techniques in 2-symbol PUCCH with 2 RX antennas</w:t>
      </w:r>
      <w:r w:rsidR="00136C0B" w:rsidRPr="00D14C62">
        <w:t xml:space="preserve">, </w:t>
      </w:r>
      <w:r w:rsidR="00136C0B">
        <w:t>4 PRBs and without frequency hopping</w:t>
      </w:r>
    </w:p>
    <w:p w14:paraId="6B189A82" w14:textId="524EA45E" w:rsidR="00136C0B" w:rsidRPr="0063438F" w:rsidRDefault="00BF6A99" w:rsidP="00136C0B">
      <w:pPr>
        <w:pStyle w:val="Caption"/>
        <w:jc w:val="both"/>
      </w:pPr>
      <w:r w:rsidRPr="00BF6A99">
        <w:rPr>
          <w:noProof/>
        </w:rPr>
        <w:drawing>
          <wp:inline distT="0" distB="0" distL="0" distR="0" wp14:anchorId="07212517" wp14:editId="1873E5C8">
            <wp:extent cx="2997641" cy="24608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700" t="5113" r="6903" b="-82"/>
                    <a:stretch/>
                  </pic:blipFill>
                  <pic:spPr bwMode="auto">
                    <a:xfrm>
                      <a:off x="0" y="0"/>
                      <a:ext cx="3009457" cy="2470554"/>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t xml:space="preserve">Figure </w:t>
      </w:r>
      <w:r w:rsidR="00136C0B">
        <w:fldChar w:fldCharType="begin"/>
      </w:r>
      <w:r w:rsidR="00136C0B" w:rsidRPr="00B0209B">
        <w:instrText xml:space="preserve"> SEQ Figure \* ARABIC </w:instrText>
      </w:r>
      <w:r w:rsidR="00136C0B">
        <w:fldChar w:fldCharType="separate"/>
      </w:r>
      <w:r w:rsidR="00D90B62">
        <w:rPr>
          <w:noProof/>
        </w:rPr>
        <w:t>2</w:t>
      </w:r>
      <w:r w:rsidR="00136C0B">
        <w:fldChar w:fldCharType="end"/>
      </w:r>
      <w:r w:rsidR="00136C0B" w:rsidRPr="00B0209B">
        <w:t xml:space="preserve">: </w:t>
      </w:r>
      <w:r w:rsidR="00136C0B">
        <w:t>Performance comparison of diversity techniques in 2-symbol PUCCH with 2 RX antennas</w:t>
      </w:r>
      <w:r w:rsidR="00136C0B" w:rsidRPr="00D14C62">
        <w:t xml:space="preserve">, </w:t>
      </w:r>
      <w:r w:rsidR="00136C0B">
        <w:t>4 PRBs and with frequency hopping</w:t>
      </w:r>
    </w:p>
    <w:p w14:paraId="465195CE" w14:textId="77777777" w:rsidR="00136C0B" w:rsidRPr="0063438F" w:rsidRDefault="00136C0B" w:rsidP="00136C0B">
      <w:pPr>
        <w:sectPr w:rsidR="00136C0B" w:rsidRPr="0063438F" w:rsidSect="00136C0B">
          <w:footnotePr>
            <w:numRestart w:val="eachSect"/>
          </w:footnotePr>
          <w:type w:val="continuous"/>
          <w:pgSz w:w="11907" w:h="16840" w:code="9"/>
          <w:pgMar w:top="1418" w:right="1134" w:bottom="1134" w:left="1134" w:header="680" w:footer="567" w:gutter="0"/>
          <w:cols w:num="2" w:space="227"/>
        </w:sectPr>
      </w:pPr>
    </w:p>
    <w:p w14:paraId="69F8DE12" w14:textId="582D3F32" w:rsidR="00B41BC4" w:rsidRPr="00B41BC4" w:rsidRDefault="00857CBD" w:rsidP="00B41BC4">
      <w:pPr>
        <w:pStyle w:val="Heading3"/>
      </w:pPr>
      <w:r>
        <w:t>Repetition without frequency hopping</w:t>
      </w:r>
    </w:p>
    <w:p w14:paraId="70DED800" w14:textId="3A2A3A75" w:rsidR="00B41BC4" w:rsidRDefault="00857CBD" w:rsidP="00857CBD">
      <w:r>
        <w:t xml:space="preserve">The baseline setup for comparison comprises the two-symbol PUCCH. In </w:t>
      </w:r>
      <w:r>
        <w:fldChar w:fldCharType="begin"/>
      </w:r>
      <w:r>
        <w:instrText xml:space="preserve"> REF _Ref498349886 \h </w:instrText>
      </w:r>
      <w:r>
        <w:fldChar w:fldCharType="separate"/>
      </w:r>
      <w:r w:rsidR="00D90B62" w:rsidRPr="00B0209B">
        <w:t xml:space="preserve">Figure </w:t>
      </w:r>
      <w:r w:rsidR="00D90B62">
        <w:rPr>
          <w:noProof/>
        </w:rPr>
        <w:t>3</w:t>
      </w:r>
      <w:r>
        <w:fldChar w:fldCharType="end"/>
      </w:r>
      <w:r>
        <w:t xml:space="preserve">, where we show results without frequency hopping, we observe that there is an SNR cross-over point beyond which SFBC is better and outperforms single-antenna setups at low BLER. This is because typically the diversity effects kick-in at the high SNR regime, where also the channel estimation is sufficiently good to avoid inter-stream interference which impairs the SFBC orthogonality and hence the diversity. The same observations hold for the case of 4RX antennas, illustrated in </w:t>
      </w:r>
      <w:r>
        <w:fldChar w:fldCharType="begin"/>
      </w:r>
      <w:r>
        <w:instrText xml:space="preserve"> REF _Ref484613053 \h </w:instrText>
      </w:r>
      <w:r>
        <w:fldChar w:fldCharType="separate"/>
      </w:r>
      <w:r w:rsidR="00D90B62" w:rsidRPr="00AD484F">
        <w:t xml:space="preserve">Figure </w:t>
      </w:r>
      <w:r w:rsidR="00D90B62">
        <w:rPr>
          <w:noProof/>
        </w:rPr>
        <w:t>4</w:t>
      </w:r>
      <w:r>
        <w:fldChar w:fldCharType="end"/>
      </w:r>
      <w:r>
        <w:t>, yet here the SNR cross-over points shift to higher SNR values and diversity is beneficial at a smaller SNR range. However, the SNR values where 10</w:t>
      </w:r>
      <w:r w:rsidRPr="00DA4EFA">
        <w:rPr>
          <w:vertAlign w:val="superscript"/>
        </w:rPr>
        <w:t>-5</w:t>
      </w:r>
      <w:r>
        <w:t xml:space="preserve"> BLER can </w:t>
      </w:r>
      <w:r w:rsidR="000F2EFA">
        <w:t xml:space="preserve">be </w:t>
      </w:r>
      <w:r>
        <w:t xml:space="preserve">achieved are too high to be applicable to </w:t>
      </w:r>
      <w:r w:rsidR="00B41BC4">
        <w:t>URLLC</w:t>
      </w:r>
      <w:r>
        <w:t xml:space="preserve">. Based on these results, we can make the following observation: </w:t>
      </w:r>
    </w:p>
    <w:p w14:paraId="4DF8A2C1" w14:textId="536219A2" w:rsidR="00B41BC4" w:rsidRPr="0063438F" w:rsidRDefault="0070528D" w:rsidP="00857CBD">
      <w:pPr>
        <w:pStyle w:val="Observation"/>
      </w:pPr>
      <w:bookmarkStart w:id="13" w:name="_Toc498432976"/>
      <w:bookmarkStart w:id="14" w:name="_Toc498506380"/>
      <w:bookmarkStart w:id="15" w:name="_Toc525929801"/>
      <w:bookmarkStart w:id="16" w:name="_Toc525929805"/>
      <w:bookmarkStart w:id="17" w:name="_Toc525931270"/>
      <w:bookmarkStart w:id="18" w:name="_Toc525946078"/>
      <w:r>
        <w:t xml:space="preserve">Without frequency hopping </w:t>
      </w:r>
      <w:r w:rsidR="00B41BC4" w:rsidRPr="0063438F">
        <w:t xml:space="preserve">SFBC can outperform no diversity </w:t>
      </w:r>
      <w:r>
        <w:t xml:space="preserve">case </w:t>
      </w:r>
      <w:r w:rsidR="00B41BC4" w:rsidRPr="0063438F">
        <w:t xml:space="preserve">for short PUCCH, </w:t>
      </w:r>
      <w:r>
        <w:t>but</w:t>
      </w:r>
      <w:r w:rsidR="00B41BC4" w:rsidRPr="0063438F">
        <w:t xml:space="preserve"> the performance is not </w:t>
      </w:r>
      <w:proofErr w:type="gramStart"/>
      <w:r w:rsidR="00B41BC4" w:rsidRPr="0063438F">
        <w:t>sufficient</w:t>
      </w:r>
      <w:proofErr w:type="gramEnd"/>
      <w:r w:rsidR="00B41BC4" w:rsidRPr="0063438F">
        <w:t xml:space="preserve"> for the</w:t>
      </w:r>
      <w:r>
        <w:t xml:space="preserve"> </w:t>
      </w:r>
      <w:r w:rsidRPr="0063438F">
        <w:t>URLLC</w:t>
      </w:r>
      <w:r w:rsidR="00B41BC4" w:rsidRPr="0063438F">
        <w:t xml:space="preserve"> purposes</w:t>
      </w:r>
      <w:bookmarkEnd w:id="13"/>
      <w:bookmarkEnd w:id="14"/>
      <w:bookmarkEnd w:id="15"/>
      <w:bookmarkEnd w:id="16"/>
      <w:r>
        <w:t>.</w:t>
      </w:r>
      <w:bookmarkEnd w:id="17"/>
      <w:bookmarkEnd w:id="18"/>
    </w:p>
    <w:p w14:paraId="2BDE1D46" w14:textId="48DC7348" w:rsidR="00BF6A99" w:rsidRDefault="00BF6A99" w:rsidP="00BF6A99">
      <w:pPr>
        <w:keepNext/>
        <w:sectPr w:rsidR="00BF6A99" w:rsidSect="00136C0B">
          <w:footnotePr>
            <w:numRestart w:val="eachSect"/>
          </w:footnotePr>
          <w:type w:val="continuous"/>
          <w:pgSz w:w="11907" w:h="16840" w:code="9"/>
          <w:pgMar w:top="1418" w:right="1134" w:bottom="1134" w:left="1134" w:header="680" w:footer="567" w:gutter="0"/>
          <w:cols w:space="720"/>
        </w:sectPr>
      </w:pPr>
    </w:p>
    <w:p w14:paraId="0E4752CE" w14:textId="41F33FA9" w:rsidR="00857CBD" w:rsidRPr="00FE0108" w:rsidRDefault="00857CBD" w:rsidP="00857CBD">
      <w:pPr>
        <w:keepNext/>
        <w:jc w:val="center"/>
      </w:pPr>
      <w:r w:rsidRPr="00553115">
        <w:rPr>
          <w:noProof/>
        </w:rPr>
        <w:lastRenderedPageBreak/>
        <w:drawing>
          <wp:inline distT="0" distB="0" distL="0" distR="0" wp14:anchorId="2124CD91" wp14:editId="0467416B">
            <wp:extent cx="3125187" cy="26915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2393" t="4981" r="6858" b="1136"/>
                    <a:stretch/>
                  </pic:blipFill>
                  <pic:spPr bwMode="auto">
                    <a:xfrm>
                      <a:off x="0" y="0"/>
                      <a:ext cx="3132971" cy="2698251"/>
                    </a:xfrm>
                    <a:prstGeom prst="rect">
                      <a:avLst/>
                    </a:prstGeom>
                    <a:noFill/>
                    <a:ln>
                      <a:noFill/>
                    </a:ln>
                    <a:extLst>
                      <a:ext uri="{53640926-AAD7-44D8-BBD7-CCE9431645EC}">
                        <a14:shadowObscured xmlns:a14="http://schemas.microsoft.com/office/drawing/2010/main"/>
                      </a:ext>
                    </a:extLst>
                  </pic:spPr>
                </pic:pic>
              </a:graphicData>
            </a:graphic>
          </wp:inline>
        </w:drawing>
      </w:r>
    </w:p>
    <w:p w14:paraId="6140521F" w14:textId="7BE6E82F" w:rsidR="00857CBD" w:rsidRPr="0063438F" w:rsidRDefault="00857CBD" w:rsidP="00857CBD">
      <w:pPr>
        <w:pStyle w:val="Caption"/>
        <w:jc w:val="both"/>
      </w:pPr>
      <w:bookmarkStart w:id="19" w:name="_Ref498349886"/>
      <w:r w:rsidRPr="00B0209B">
        <w:t xml:space="preserve">Figure </w:t>
      </w:r>
      <w:r>
        <w:fldChar w:fldCharType="begin"/>
      </w:r>
      <w:r w:rsidRPr="00B0209B">
        <w:instrText xml:space="preserve"> SEQ Figure \* ARABIC </w:instrText>
      </w:r>
      <w:r>
        <w:fldChar w:fldCharType="separate"/>
      </w:r>
      <w:r w:rsidR="00D90B62">
        <w:rPr>
          <w:noProof/>
        </w:rPr>
        <w:t>3</w:t>
      </w:r>
      <w:r>
        <w:fldChar w:fldCharType="end"/>
      </w:r>
      <w:bookmarkEnd w:id="19"/>
      <w:r w:rsidRPr="00B0209B">
        <w:t xml:space="preserve">: </w:t>
      </w:r>
      <w:r>
        <w:t xml:space="preserve">Performance evaluation of </w:t>
      </w:r>
      <w:proofErr w:type="spellStart"/>
      <w:r>
        <w:t>tx</w:t>
      </w:r>
      <w:proofErr w:type="spellEnd"/>
      <w:r>
        <w:t xml:space="preserve"> diversity in 2-symbol PUCCH with 2 RX antennas</w:t>
      </w:r>
      <w:r w:rsidRPr="00D14C62">
        <w:t xml:space="preserve">, </w:t>
      </w:r>
      <w:r>
        <w:t>4 PRBs and without frequency hopping</w:t>
      </w:r>
    </w:p>
    <w:p w14:paraId="7B9B4C52" w14:textId="77777777" w:rsidR="00857CBD" w:rsidRPr="00553115" w:rsidRDefault="00857CBD" w:rsidP="00857CBD">
      <w:pPr>
        <w:keepNext/>
        <w:jc w:val="center"/>
      </w:pPr>
      <w:r w:rsidRPr="00553115">
        <w:rPr>
          <w:noProof/>
        </w:rPr>
        <w:drawing>
          <wp:inline distT="0" distB="0" distL="0" distR="0" wp14:anchorId="372974B6" wp14:editId="71F3C741">
            <wp:extent cx="3158174" cy="268668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3036" t="5762" r="7588" b="1107"/>
                    <a:stretch/>
                  </pic:blipFill>
                  <pic:spPr bwMode="auto">
                    <a:xfrm>
                      <a:off x="0" y="0"/>
                      <a:ext cx="3166165" cy="2693483"/>
                    </a:xfrm>
                    <a:prstGeom prst="rect">
                      <a:avLst/>
                    </a:prstGeom>
                    <a:noFill/>
                    <a:ln>
                      <a:noFill/>
                    </a:ln>
                    <a:extLst>
                      <a:ext uri="{53640926-AAD7-44D8-BBD7-CCE9431645EC}">
                        <a14:shadowObscured xmlns:a14="http://schemas.microsoft.com/office/drawing/2010/main"/>
                      </a:ext>
                    </a:extLst>
                  </pic:spPr>
                </pic:pic>
              </a:graphicData>
            </a:graphic>
          </wp:inline>
        </w:drawing>
      </w:r>
    </w:p>
    <w:p w14:paraId="0FCBD68F" w14:textId="7DA208F0" w:rsidR="00857CBD" w:rsidRDefault="00857CBD" w:rsidP="00857CBD">
      <w:pPr>
        <w:pStyle w:val="Caption"/>
        <w:spacing w:after="120"/>
        <w:jc w:val="both"/>
      </w:pPr>
      <w:bookmarkStart w:id="20" w:name="_Ref484613053"/>
      <w:r w:rsidRPr="00AD484F">
        <w:t xml:space="preserve">Figure </w:t>
      </w:r>
      <w:r>
        <w:fldChar w:fldCharType="begin"/>
      </w:r>
      <w:r w:rsidRPr="00AD484F">
        <w:instrText xml:space="preserve"> SEQ Figure \* ARABIC </w:instrText>
      </w:r>
      <w:r>
        <w:fldChar w:fldCharType="separate"/>
      </w:r>
      <w:r w:rsidR="00D90B62">
        <w:rPr>
          <w:noProof/>
        </w:rPr>
        <w:t>4</w:t>
      </w:r>
      <w:r>
        <w:rPr>
          <w:noProof/>
        </w:rPr>
        <w:fldChar w:fldCharType="end"/>
      </w:r>
      <w:bookmarkEnd w:id="20"/>
      <w:r w:rsidRPr="00AD484F">
        <w:t xml:space="preserve">: </w:t>
      </w:r>
      <w:r>
        <w:t xml:space="preserve">Performance evaluation of </w:t>
      </w:r>
      <w:proofErr w:type="spellStart"/>
      <w:r>
        <w:t>tx</w:t>
      </w:r>
      <w:proofErr w:type="spellEnd"/>
      <w:r>
        <w:t xml:space="preserve"> diversity in 2-symbol PUCCH with 4 RX antennas</w:t>
      </w:r>
      <w:r w:rsidRPr="00D14C62">
        <w:t xml:space="preserve">, </w:t>
      </w:r>
      <w:r>
        <w:t>4 PRBs and without frequency hopping.</w:t>
      </w:r>
    </w:p>
    <w:p w14:paraId="75CB90F5" w14:textId="77777777" w:rsidR="00BF6A99" w:rsidRDefault="00BF6A99" w:rsidP="00B41BC4">
      <w:pPr>
        <w:pStyle w:val="Heading3"/>
        <w:sectPr w:rsidR="00BF6A99" w:rsidSect="00BF6A99">
          <w:footnotePr>
            <w:numRestart w:val="eachSect"/>
          </w:footnotePr>
          <w:type w:val="continuous"/>
          <w:pgSz w:w="11907" w:h="16840" w:code="9"/>
          <w:pgMar w:top="1418" w:right="1134" w:bottom="1134" w:left="1134" w:header="680" w:footer="567" w:gutter="0"/>
          <w:cols w:num="2" w:space="170"/>
        </w:sectPr>
      </w:pPr>
    </w:p>
    <w:p w14:paraId="2E75BE1A" w14:textId="0315C8F8" w:rsidR="00B41BC4" w:rsidRPr="00B41BC4" w:rsidRDefault="00857CBD" w:rsidP="00B41BC4">
      <w:pPr>
        <w:pStyle w:val="Heading3"/>
      </w:pPr>
      <w:r>
        <w:t>Repetition with frequency hopping</w:t>
      </w:r>
    </w:p>
    <w:p w14:paraId="179451B3" w14:textId="4135B780" w:rsidR="00857CBD" w:rsidRDefault="00857CBD" w:rsidP="00857CBD">
      <w:r>
        <w:t xml:space="preserve">For the 2-symbol PUCCH, frequency hopping is supported that can provide extra diversity in the system. In </w:t>
      </w:r>
      <w:r>
        <w:fldChar w:fldCharType="begin"/>
      </w:r>
      <w:r>
        <w:instrText xml:space="preserve"> REF _Ref484613056 \h </w:instrText>
      </w:r>
      <w:r>
        <w:fldChar w:fldCharType="separate"/>
      </w:r>
      <w:r w:rsidR="00D90B62" w:rsidRPr="00AD484F">
        <w:t xml:space="preserve">Figure </w:t>
      </w:r>
      <w:r w:rsidR="00D90B62">
        <w:rPr>
          <w:noProof/>
        </w:rPr>
        <w:t>5</w:t>
      </w:r>
      <w:r>
        <w:fldChar w:fldCharType="end"/>
      </w:r>
      <w:r>
        <w:t xml:space="preserve">, we have a similar </w:t>
      </w:r>
      <w:proofErr w:type="spellStart"/>
      <w:r>
        <w:t>behavior</w:t>
      </w:r>
      <w:proofErr w:type="spellEnd"/>
      <w:r>
        <w:t xml:space="preserve"> as in </w:t>
      </w:r>
      <w:r>
        <w:fldChar w:fldCharType="begin"/>
      </w:r>
      <w:r>
        <w:instrText xml:space="preserve"> REF _Ref484613053 \h </w:instrText>
      </w:r>
      <w:r>
        <w:fldChar w:fldCharType="separate"/>
      </w:r>
      <w:r w:rsidR="00D90B62" w:rsidRPr="00AD484F">
        <w:t xml:space="preserve">Figure </w:t>
      </w:r>
      <w:r w:rsidR="00D90B62">
        <w:rPr>
          <w:noProof/>
        </w:rPr>
        <w:t>4</w:t>
      </w:r>
      <w:r>
        <w:fldChar w:fldCharType="end"/>
      </w:r>
      <w:r>
        <w:t xml:space="preserve">, namely that SFBC outperforms single-antenna transmission for a small fraction of the SNR regime of interest. It is interesting to see </w:t>
      </w:r>
      <w:r>
        <w:fldChar w:fldCharType="begin"/>
      </w:r>
      <w:r>
        <w:instrText xml:space="preserve"> REF _Ref497399275 \h </w:instrText>
      </w:r>
      <w:r>
        <w:fldChar w:fldCharType="separate"/>
      </w:r>
      <w:r w:rsidR="00D90B62" w:rsidRPr="00AD484F">
        <w:t xml:space="preserve">Figure </w:t>
      </w:r>
      <w:r w:rsidR="00D90B62">
        <w:rPr>
          <w:noProof/>
        </w:rPr>
        <w:t>6</w:t>
      </w:r>
      <w:r>
        <w:fldChar w:fldCharType="end"/>
      </w:r>
      <w:r>
        <w:t xml:space="preserve">, where SFBC is outperformed by single-antenna transmitters; using frequency hopping when </w:t>
      </w:r>
      <w:proofErr w:type="spellStart"/>
      <w:r>
        <w:t>gNB</w:t>
      </w:r>
      <w:proofErr w:type="spellEnd"/>
      <w:r>
        <w:t xml:space="preserve"> is equipped with 4RX antennas is a better strategy in the whole SNR range</w:t>
      </w:r>
      <w:r w:rsidR="008E0F94">
        <w:t xml:space="preserve"> of interest</w:t>
      </w:r>
      <w:r>
        <w:t xml:space="preserve">. We can infer that for the latter setup, the system has enough inherent diversity and does not benefit from SFBC. In practice, though, 4RX antennas might not be perfectly uncorrelated thereby diminishing the diversity gains that we get from multiple receive antennas.  Yet, the performance gap is sufficiently large to support the conclusion that multiple receive antennas and frequency hopping provide enough diversity for </w:t>
      </w:r>
      <w:r w:rsidR="00B41BC4">
        <w:t>U</w:t>
      </w:r>
      <w:r>
        <w:t>RLLC systems. Based on these results, we have the following observation:</w:t>
      </w:r>
    </w:p>
    <w:p w14:paraId="2B21C207" w14:textId="1B42FC5C" w:rsidR="00B41BC4" w:rsidRPr="0063438F" w:rsidRDefault="0070528D" w:rsidP="00B41BC4">
      <w:pPr>
        <w:pStyle w:val="Observation"/>
      </w:pPr>
      <w:bookmarkStart w:id="21" w:name="_Toc498432977"/>
      <w:bookmarkStart w:id="22" w:name="_Toc498506381"/>
      <w:bookmarkStart w:id="23" w:name="_Toc525929802"/>
      <w:bookmarkStart w:id="24" w:name="_Toc525929806"/>
      <w:bookmarkStart w:id="25" w:name="_Toc525931271"/>
      <w:bookmarkStart w:id="26" w:name="_Toc525946079"/>
      <w:r>
        <w:t xml:space="preserve">With frequency hopping the </w:t>
      </w:r>
      <w:r w:rsidR="00B41BC4" w:rsidRPr="0063438F">
        <w:t xml:space="preserve">SFBC </w:t>
      </w:r>
      <w:r>
        <w:t xml:space="preserve">scheme </w:t>
      </w:r>
      <w:r w:rsidR="00B41BC4" w:rsidRPr="0063438F">
        <w:t>does not bring any gains.</w:t>
      </w:r>
      <w:bookmarkEnd w:id="21"/>
      <w:bookmarkEnd w:id="22"/>
      <w:bookmarkEnd w:id="23"/>
      <w:bookmarkEnd w:id="24"/>
      <w:bookmarkEnd w:id="25"/>
      <w:bookmarkEnd w:id="26"/>
    </w:p>
    <w:p w14:paraId="6DD8BD34" w14:textId="6E831A49" w:rsidR="00BF6A99" w:rsidRDefault="00BF6A99" w:rsidP="00BF6A99">
      <w:pPr>
        <w:pStyle w:val="BodyText"/>
        <w:keepNext/>
        <w:spacing w:before="200"/>
        <w:sectPr w:rsidR="00BF6A99" w:rsidSect="00136C0B">
          <w:footnotePr>
            <w:numRestart w:val="eachSect"/>
          </w:footnotePr>
          <w:type w:val="continuous"/>
          <w:pgSz w:w="11907" w:h="16840" w:code="9"/>
          <w:pgMar w:top="1418" w:right="1134" w:bottom="1134" w:left="1134" w:header="680" w:footer="567" w:gutter="0"/>
          <w:cols w:space="720"/>
        </w:sectPr>
      </w:pPr>
    </w:p>
    <w:p w14:paraId="4F0169CB" w14:textId="672ABE70" w:rsidR="00857CBD" w:rsidRPr="00083641" w:rsidRDefault="00857CBD" w:rsidP="00BF6A99">
      <w:pPr>
        <w:pStyle w:val="BodyText"/>
        <w:keepNext/>
        <w:jc w:val="center"/>
      </w:pPr>
      <w:r w:rsidRPr="00553115">
        <w:rPr>
          <w:noProof/>
        </w:rPr>
        <w:drawing>
          <wp:inline distT="0" distB="0" distL="0" distR="0" wp14:anchorId="62DF8790" wp14:editId="4FA17FB0">
            <wp:extent cx="3067811" cy="26485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3067" t="5313" r="8280"/>
                    <a:stretch/>
                  </pic:blipFill>
                  <pic:spPr bwMode="auto">
                    <a:xfrm>
                      <a:off x="0" y="0"/>
                      <a:ext cx="3079456" cy="2658586"/>
                    </a:xfrm>
                    <a:prstGeom prst="rect">
                      <a:avLst/>
                    </a:prstGeom>
                    <a:noFill/>
                    <a:ln>
                      <a:noFill/>
                    </a:ln>
                    <a:extLst>
                      <a:ext uri="{53640926-AAD7-44D8-BBD7-CCE9431645EC}">
                        <a14:shadowObscured xmlns:a14="http://schemas.microsoft.com/office/drawing/2010/main"/>
                      </a:ext>
                    </a:extLst>
                  </pic:spPr>
                </pic:pic>
              </a:graphicData>
            </a:graphic>
          </wp:inline>
        </w:drawing>
      </w:r>
    </w:p>
    <w:p w14:paraId="04448124" w14:textId="51C889BA" w:rsidR="00857CBD" w:rsidRDefault="00857CBD" w:rsidP="00857CBD">
      <w:pPr>
        <w:pStyle w:val="Caption"/>
        <w:jc w:val="both"/>
      </w:pPr>
      <w:bookmarkStart w:id="27" w:name="_Ref484613056"/>
      <w:r w:rsidRPr="00AD484F">
        <w:t xml:space="preserve">Figure </w:t>
      </w:r>
      <w:r>
        <w:fldChar w:fldCharType="begin"/>
      </w:r>
      <w:r w:rsidRPr="00AD484F">
        <w:instrText xml:space="preserve"> SEQ Figure \* ARABIC </w:instrText>
      </w:r>
      <w:r>
        <w:fldChar w:fldCharType="separate"/>
      </w:r>
      <w:r w:rsidR="00D90B62">
        <w:rPr>
          <w:noProof/>
        </w:rPr>
        <w:t>5</w:t>
      </w:r>
      <w:r>
        <w:rPr>
          <w:noProof/>
        </w:rPr>
        <w:fldChar w:fldCharType="end"/>
      </w:r>
      <w:bookmarkEnd w:id="27"/>
      <w:r w:rsidRPr="00AD484F">
        <w:t xml:space="preserve">: </w:t>
      </w:r>
      <w:r>
        <w:t xml:space="preserve">Performance evaluation of </w:t>
      </w:r>
      <w:proofErr w:type="spellStart"/>
      <w:r>
        <w:t>tx</w:t>
      </w:r>
      <w:proofErr w:type="spellEnd"/>
      <w:r>
        <w:t xml:space="preserve"> diversity in 2-symbol PUCCH with 2 RX antennas</w:t>
      </w:r>
      <w:r w:rsidRPr="00D14C62">
        <w:t xml:space="preserve">, </w:t>
      </w:r>
      <w:r>
        <w:t>4 PRBs and with frequency hopping</w:t>
      </w:r>
    </w:p>
    <w:p w14:paraId="531B073C" w14:textId="77777777" w:rsidR="00857CBD" w:rsidRPr="00553115" w:rsidRDefault="00857CBD" w:rsidP="00857CBD">
      <w:pPr>
        <w:jc w:val="center"/>
      </w:pPr>
      <w:r w:rsidRPr="00553115">
        <w:rPr>
          <w:noProof/>
        </w:rPr>
        <w:drawing>
          <wp:inline distT="0" distB="0" distL="0" distR="0" wp14:anchorId="7730DB03" wp14:editId="14E6D6D8">
            <wp:extent cx="3034665" cy="2625504"/>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4418" t="5066" r="7758" b="1298"/>
                    <a:stretch/>
                  </pic:blipFill>
                  <pic:spPr bwMode="auto">
                    <a:xfrm>
                      <a:off x="0" y="0"/>
                      <a:ext cx="3057590" cy="2645338"/>
                    </a:xfrm>
                    <a:prstGeom prst="rect">
                      <a:avLst/>
                    </a:prstGeom>
                    <a:noFill/>
                    <a:ln>
                      <a:noFill/>
                    </a:ln>
                    <a:extLst>
                      <a:ext uri="{53640926-AAD7-44D8-BBD7-CCE9431645EC}">
                        <a14:shadowObscured xmlns:a14="http://schemas.microsoft.com/office/drawing/2010/main"/>
                      </a:ext>
                    </a:extLst>
                  </pic:spPr>
                </pic:pic>
              </a:graphicData>
            </a:graphic>
          </wp:inline>
        </w:drawing>
      </w:r>
    </w:p>
    <w:p w14:paraId="67D652C1" w14:textId="39AAC904" w:rsidR="00D95CA9" w:rsidRPr="00B41BC4" w:rsidRDefault="00857CBD" w:rsidP="00B41BC4">
      <w:pPr>
        <w:pStyle w:val="Caption"/>
        <w:spacing w:after="120"/>
        <w:jc w:val="both"/>
      </w:pPr>
      <w:bookmarkStart w:id="28" w:name="_Ref497399275"/>
      <w:r w:rsidRPr="00AD484F">
        <w:t xml:space="preserve">Figure </w:t>
      </w:r>
      <w:r>
        <w:fldChar w:fldCharType="begin"/>
      </w:r>
      <w:r w:rsidRPr="00AD484F">
        <w:instrText xml:space="preserve"> SEQ Figure \* ARABIC </w:instrText>
      </w:r>
      <w:r>
        <w:fldChar w:fldCharType="separate"/>
      </w:r>
      <w:r w:rsidR="00D90B62">
        <w:rPr>
          <w:noProof/>
        </w:rPr>
        <w:t>6</w:t>
      </w:r>
      <w:r>
        <w:rPr>
          <w:noProof/>
        </w:rPr>
        <w:fldChar w:fldCharType="end"/>
      </w:r>
      <w:bookmarkEnd w:id="28"/>
      <w:r w:rsidRPr="00AD484F">
        <w:t xml:space="preserve">: </w:t>
      </w:r>
      <w:r>
        <w:t xml:space="preserve">Performance evaluation of </w:t>
      </w:r>
      <w:proofErr w:type="spellStart"/>
      <w:r>
        <w:t>tx</w:t>
      </w:r>
      <w:proofErr w:type="spellEnd"/>
      <w:r>
        <w:t xml:space="preserve"> diversity in 2-symbol PUCCH with 4 RX antennas</w:t>
      </w:r>
      <w:r w:rsidRPr="00D14C62">
        <w:t xml:space="preserve">, </w:t>
      </w:r>
      <w:r>
        <w:t xml:space="preserve">4 </w:t>
      </w:r>
      <w:r w:rsidR="00B41BC4">
        <w:t>PRBs and with frequency hopping</w:t>
      </w:r>
    </w:p>
    <w:p w14:paraId="4CFFB3D8" w14:textId="77777777" w:rsidR="00BF6A99" w:rsidRDefault="00BF6A99" w:rsidP="00CE0424">
      <w:pPr>
        <w:pStyle w:val="Heading1"/>
        <w:sectPr w:rsidR="00BF6A99" w:rsidSect="00BF6A99">
          <w:footnotePr>
            <w:numRestart w:val="eachSect"/>
          </w:footnotePr>
          <w:type w:val="continuous"/>
          <w:pgSz w:w="11907" w:h="16840" w:code="9"/>
          <w:pgMar w:top="1418" w:right="1134" w:bottom="1134" w:left="1134" w:header="680" w:footer="567" w:gutter="0"/>
          <w:cols w:num="2" w:space="170"/>
        </w:sectPr>
      </w:pPr>
    </w:p>
    <w:p w14:paraId="5060D584" w14:textId="1A671462" w:rsidR="005F6A6B" w:rsidRDefault="00C01F33" w:rsidP="00311702">
      <w:pPr>
        <w:pStyle w:val="Heading1"/>
      </w:pPr>
      <w:r w:rsidRPr="00CE0424">
        <w:lastRenderedPageBreak/>
        <w:t>Conclusion</w:t>
      </w:r>
    </w:p>
    <w:p w14:paraId="2CA40B56" w14:textId="77777777" w:rsidR="00DA4EFA" w:rsidRDefault="008E065E" w:rsidP="000C2271">
      <w:pPr>
        <w:pStyle w:val="BodyText"/>
        <w:rPr>
          <w:noProof/>
        </w:rPr>
      </w:pPr>
      <w:r w:rsidRPr="0063438F">
        <w:t xml:space="preserve">In section </w:t>
      </w:r>
      <w:r w:rsidRPr="00CE0424">
        <w:rPr>
          <w:highlight w:val="cyan"/>
        </w:rPr>
        <w:fldChar w:fldCharType="begin"/>
      </w:r>
      <w:r w:rsidRPr="0063438F">
        <w:instrText xml:space="preserve"> REF _Ref178064866 \r \h </w:instrText>
      </w:r>
      <w:r w:rsidRPr="00CE0424">
        <w:rPr>
          <w:highlight w:val="cyan"/>
        </w:rPr>
      </w:r>
      <w:r w:rsidRPr="00CE0424">
        <w:rPr>
          <w:highlight w:val="cyan"/>
        </w:rPr>
        <w:fldChar w:fldCharType="separate"/>
      </w:r>
      <w:r w:rsidR="00D90B62">
        <w:t>2</w:t>
      </w:r>
      <w:r w:rsidRPr="00CE0424">
        <w:rPr>
          <w:highlight w:val="cyan"/>
        </w:rPr>
        <w:fldChar w:fldCharType="end"/>
      </w:r>
      <w:r w:rsidRPr="0063438F">
        <w:t xml:space="preserve"> we made the following observations:</w:t>
      </w:r>
      <w:r w:rsidR="000C2271">
        <w:rPr>
          <w:b/>
          <w:bCs/>
        </w:rPr>
        <w:fldChar w:fldCharType="begin"/>
      </w:r>
      <w:r w:rsidR="000C2271">
        <w:rPr>
          <w:b/>
          <w:bCs/>
        </w:rPr>
        <w:instrText xml:space="preserve"> TOC \f \n \p " " \t "Observation,1" </w:instrText>
      </w:r>
      <w:r w:rsidR="000C2271">
        <w:rPr>
          <w:b/>
          <w:bCs/>
        </w:rPr>
        <w:fldChar w:fldCharType="separate"/>
      </w:r>
    </w:p>
    <w:p w14:paraId="2C53B6C3" w14:textId="77777777" w:rsidR="00DA4EFA" w:rsidRDefault="00DA4EFA">
      <w:pPr>
        <w:pStyle w:val="TOC1"/>
        <w:rPr>
          <w:rFonts w:asciiTheme="minorHAnsi" w:eastAsia="Arial Unicode MS" w:hAnsiTheme="minorHAnsi" w:cstheme="minorBidi"/>
          <w:b w:val="0"/>
          <w:sz w:val="22"/>
        </w:rPr>
      </w:pPr>
      <w:r>
        <w:t>Observation 1</w:t>
      </w:r>
      <w:r>
        <w:rPr>
          <w:rFonts w:asciiTheme="minorHAnsi" w:eastAsia="Arial Unicode MS" w:hAnsiTheme="minorHAnsi" w:cstheme="minorBidi"/>
          <w:b w:val="0"/>
          <w:sz w:val="22"/>
        </w:rPr>
        <w:tab/>
      </w:r>
      <w:r>
        <w:t>CDD transmit diversity scheme provides performance gain at low BLER especially when the channel is flat.</w:t>
      </w:r>
    </w:p>
    <w:p w14:paraId="22972C7C" w14:textId="77777777" w:rsidR="00DA4EFA" w:rsidRDefault="00DA4EFA">
      <w:pPr>
        <w:pStyle w:val="TOC1"/>
        <w:rPr>
          <w:rFonts w:asciiTheme="minorHAnsi" w:eastAsia="Arial Unicode MS" w:hAnsiTheme="minorHAnsi" w:cstheme="minorBidi"/>
          <w:b w:val="0"/>
          <w:sz w:val="22"/>
        </w:rPr>
      </w:pPr>
      <w:r>
        <w:t>Observation 2</w:t>
      </w:r>
      <w:r>
        <w:rPr>
          <w:rFonts w:asciiTheme="minorHAnsi" w:eastAsia="Arial Unicode MS" w:hAnsiTheme="minorHAnsi" w:cstheme="minorBidi"/>
          <w:b w:val="0"/>
          <w:sz w:val="22"/>
        </w:rPr>
        <w:tab/>
      </w:r>
      <w:r>
        <w:t>SFBC shows better performance than CDD for medium payload transmission in short PUCCH.</w:t>
      </w:r>
    </w:p>
    <w:p w14:paraId="1C925C21" w14:textId="77777777" w:rsidR="00DA4EFA" w:rsidRDefault="00DA4EFA">
      <w:pPr>
        <w:pStyle w:val="TOC1"/>
        <w:rPr>
          <w:rFonts w:asciiTheme="minorHAnsi" w:eastAsia="Arial Unicode MS" w:hAnsiTheme="minorHAnsi" w:cstheme="minorBidi"/>
          <w:b w:val="0"/>
          <w:sz w:val="22"/>
        </w:rPr>
      </w:pPr>
      <w:r>
        <w:t>Observation 3</w:t>
      </w:r>
      <w:r>
        <w:rPr>
          <w:rFonts w:asciiTheme="minorHAnsi" w:eastAsia="Arial Unicode MS" w:hAnsiTheme="minorHAnsi" w:cstheme="minorBidi"/>
          <w:b w:val="0"/>
          <w:sz w:val="22"/>
        </w:rPr>
        <w:tab/>
      </w:r>
      <w:r>
        <w:t>Without frequency hopping SFBC can outperform no diversity case for short PUCCH, but the performance is not sufficient for the URLLC purposes.</w:t>
      </w:r>
    </w:p>
    <w:p w14:paraId="35E5119D" w14:textId="77777777" w:rsidR="00DA4EFA" w:rsidRDefault="00DA4EFA">
      <w:pPr>
        <w:pStyle w:val="TOC1"/>
        <w:rPr>
          <w:rFonts w:asciiTheme="minorHAnsi" w:eastAsia="Arial Unicode MS" w:hAnsiTheme="minorHAnsi" w:cstheme="minorBidi"/>
          <w:b w:val="0"/>
          <w:sz w:val="22"/>
        </w:rPr>
      </w:pPr>
      <w:r>
        <w:t>Observation 4</w:t>
      </w:r>
      <w:r>
        <w:rPr>
          <w:rFonts w:asciiTheme="minorHAnsi" w:eastAsia="Arial Unicode MS" w:hAnsiTheme="minorHAnsi" w:cstheme="minorBidi"/>
          <w:b w:val="0"/>
          <w:sz w:val="22"/>
        </w:rPr>
        <w:tab/>
      </w:r>
      <w:r>
        <w:t>With frequency hopping the SFBC scheme does not bring any gains.</w:t>
      </w:r>
    </w:p>
    <w:p w14:paraId="68ED5EBF" w14:textId="7C73DBD1" w:rsidR="008E065E" w:rsidRPr="0063438F" w:rsidRDefault="000C2271" w:rsidP="000C2271">
      <w:pPr>
        <w:pStyle w:val="BodyText"/>
        <w:rPr>
          <w:b/>
          <w:bCs/>
        </w:rPr>
      </w:pPr>
      <w:r>
        <w:rPr>
          <w:b/>
          <w:bCs/>
        </w:rPr>
        <w:fldChar w:fldCharType="end"/>
      </w:r>
    </w:p>
    <w:p w14:paraId="57B73A36" w14:textId="77777777" w:rsidR="00F507D1" w:rsidRPr="00CE0424" w:rsidRDefault="00F507D1" w:rsidP="00CE0424">
      <w:pPr>
        <w:pStyle w:val="Heading1"/>
      </w:pPr>
      <w:bookmarkStart w:id="29" w:name="_In-sequence_SDU_delivery"/>
      <w:bookmarkEnd w:id="29"/>
      <w:r w:rsidRPr="00CE0424">
        <w:t>References</w:t>
      </w:r>
    </w:p>
    <w:p w14:paraId="421FB0EA" w14:textId="4C49FDE7" w:rsidR="00DC1614" w:rsidRDefault="00DC1614" w:rsidP="00DC1614">
      <w:pPr>
        <w:pStyle w:val="Reference"/>
        <w:numPr>
          <w:ilvl w:val="0"/>
          <w:numId w:val="15"/>
        </w:numPr>
      </w:pPr>
      <w:bookmarkStart w:id="30" w:name="_Ref174151459"/>
      <w:bookmarkStart w:id="31" w:name="_Ref189809556"/>
      <w:r w:rsidRPr="00DC1614">
        <w:t xml:space="preserve">RP-181477 New SID on Physical Layer Enhancements for NR URLLC, Huawei, </w:t>
      </w:r>
      <w:proofErr w:type="spellStart"/>
      <w:r w:rsidRPr="00DC1614">
        <w:t>HiSilicon</w:t>
      </w:r>
      <w:proofErr w:type="spellEnd"/>
      <w:r w:rsidRPr="00DC1614">
        <w:t>, Nokia, Nokia Shanghai Bell</w:t>
      </w:r>
    </w:p>
    <w:p w14:paraId="4D9E69BF" w14:textId="17DC7CFA" w:rsidR="00DC1614" w:rsidRPr="00DC1614" w:rsidRDefault="00DC1614" w:rsidP="00994C2D">
      <w:pPr>
        <w:pStyle w:val="Reference"/>
        <w:numPr>
          <w:ilvl w:val="0"/>
          <w:numId w:val="15"/>
        </w:numPr>
        <w:tabs>
          <w:tab w:val="clear" w:pos="567"/>
          <w:tab w:val="num" w:pos="709"/>
        </w:tabs>
        <w:overflowPunct w:val="0"/>
        <w:autoSpaceDE w:val="0"/>
        <w:autoSpaceDN w:val="0"/>
        <w:adjustRightInd w:val="0"/>
        <w:textAlignment w:val="baseline"/>
      </w:pPr>
      <w:bookmarkStart w:id="32" w:name="_Ref525893651"/>
      <w:r w:rsidRPr="00D423F2">
        <w:t>RAN1 #9</w:t>
      </w:r>
      <w:r>
        <w:t>4</w:t>
      </w:r>
      <w:r w:rsidR="00DF2A20">
        <w:t>bis</w:t>
      </w:r>
      <w:r w:rsidRPr="00D423F2">
        <w:t xml:space="preserve"> Chairman’s Notes</w:t>
      </w:r>
      <w:bookmarkEnd w:id="32"/>
    </w:p>
    <w:bookmarkEnd w:id="30"/>
    <w:bookmarkEnd w:id="31"/>
    <w:p w14:paraId="6EF5CF0A" w14:textId="3A661851" w:rsidR="003A7EF3" w:rsidRDefault="003A7EF3" w:rsidP="00CE0424">
      <w:pPr>
        <w:pStyle w:val="BodyText"/>
      </w:pPr>
    </w:p>
    <w:p w14:paraId="79BFB928" w14:textId="0F23CD5B" w:rsidR="00DE1F14" w:rsidRDefault="00DE1F14" w:rsidP="00DE1F14">
      <w:pPr>
        <w:pStyle w:val="Heading1"/>
      </w:pPr>
      <w:r>
        <w:t>Simulation assumption</w:t>
      </w:r>
    </w:p>
    <w:p w14:paraId="6B89D9B9" w14:textId="6BBA7C3D" w:rsidR="00DE1F14" w:rsidRDefault="00DE1F14" w:rsidP="00DE1F14">
      <w:pPr>
        <w:pStyle w:val="Heading2"/>
      </w:pPr>
      <w:r>
        <w:t>CDD scheme for 2 transmission antennas</w:t>
      </w:r>
    </w:p>
    <w:p w14:paraId="59E9DE13" w14:textId="5EB45EB0" w:rsidR="00DE1F14" w:rsidRDefault="00DE1F14" w:rsidP="00DE1F14">
      <w:r>
        <w:t>Below we provide simulation assumption:</w:t>
      </w:r>
    </w:p>
    <w:p w14:paraId="7BF95644" w14:textId="77777777" w:rsidR="00DE1F14" w:rsidRDefault="00DE1F14" w:rsidP="00DE1F14">
      <w:pPr>
        <w:pStyle w:val="ListParagraph"/>
        <w:numPr>
          <w:ilvl w:val="0"/>
          <w:numId w:val="23"/>
        </w:numPr>
      </w:pPr>
      <w:r>
        <w:t>LDPC code BG#2, layered sum-product decoder</w:t>
      </w:r>
    </w:p>
    <w:p w14:paraId="276F66F7" w14:textId="77777777" w:rsidR="00DE1F14" w:rsidRDefault="00DE1F14" w:rsidP="00DE1F14">
      <w:pPr>
        <w:pStyle w:val="ListParagraph"/>
        <w:numPr>
          <w:ilvl w:val="0"/>
          <w:numId w:val="23"/>
        </w:numPr>
      </w:pPr>
      <w:r>
        <w:t>QPSK</w:t>
      </w:r>
    </w:p>
    <w:p w14:paraId="77CDD9BC" w14:textId="77777777" w:rsidR="00DE1F14" w:rsidRDefault="00DE1F14" w:rsidP="00DE1F14">
      <w:pPr>
        <w:pStyle w:val="ListParagraph"/>
        <w:numPr>
          <w:ilvl w:val="0"/>
          <w:numId w:val="23"/>
        </w:numPr>
      </w:pPr>
      <w:r w:rsidRPr="0087448D">
        <w:t>R=1/5 and</w:t>
      </w:r>
      <w:r>
        <w:t xml:space="preserve"> 1/10</w:t>
      </w:r>
    </w:p>
    <w:p w14:paraId="2F26F07E" w14:textId="77777777" w:rsidR="00DE1F14" w:rsidRPr="00367175" w:rsidRDefault="00DE1F14" w:rsidP="00DE1F14">
      <w:pPr>
        <w:pStyle w:val="ListParagraph"/>
        <w:numPr>
          <w:ilvl w:val="0"/>
          <w:numId w:val="23"/>
        </w:numPr>
      </w:pPr>
      <w:r w:rsidRPr="00367175">
        <w:t xml:space="preserve">4 and 7os mini-slot duration with 1 DMRS </w:t>
      </w:r>
      <w:r>
        <w:t>symbol (no FDM with data)</w:t>
      </w:r>
    </w:p>
    <w:p w14:paraId="03E4DA88" w14:textId="77777777" w:rsidR="00DE1F14" w:rsidRDefault="00DE1F14" w:rsidP="00DE1F14">
      <w:pPr>
        <w:pStyle w:val="ListParagraph"/>
        <w:numPr>
          <w:ilvl w:val="0"/>
          <w:numId w:val="23"/>
        </w:numPr>
      </w:pPr>
      <w:r w:rsidRPr="0087448D">
        <w:t xml:space="preserve">SCS </w:t>
      </w:r>
      <w:r>
        <w:t xml:space="preserve">is </w:t>
      </w:r>
      <w:r w:rsidRPr="0087448D">
        <w:t>3</w:t>
      </w:r>
      <w:r>
        <w:t>0kHz</w:t>
      </w:r>
    </w:p>
    <w:p w14:paraId="7DA05531" w14:textId="77777777" w:rsidR="00DE1F14" w:rsidRDefault="00DE1F14" w:rsidP="00DE1F14">
      <w:pPr>
        <w:pStyle w:val="ListParagraph"/>
        <w:numPr>
          <w:ilvl w:val="0"/>
          <w:numId w:val="23"/>
        </w:numPr>
      </w:pPr>
      <w:r>
        <w:t>Carrier frequency 700 MHz</w:t>
      </w:r>
    </w:p>
    <w:p w14:paraId="0AF12513" w14:textId="77777777" w:rsidR="00DE1F14" w:rsidRDefault="00DE1F14" w:rsidP="00DE1F14">
      <w:pPr>
        <w:pStyle w:val="ListParagraph"/>
        <w:numPr>
          <w:ilvl w:val="0"/>
          <w:numId w:val="23"/>
        </w:numPr>
      </w:pPr>
      <w:r>
        <w:t>#PRBs corresponding to the payload (TBS) 280b</w:t>
      </w:r>
      <w:r w:rsidRPr="00367175">
        <w:t xml:space="preserve"> </w:t>
      </w:r>
      <w:r>
        <w:t>is given in Table 1.</w:t>
      </w:r>
    </w:p>
    <w:p w14:paraId="60280F82" w14:textId="77777777" w:rsidR="00DE1F14" w:rsidRDefault="00DE1F14" w:rsidP="00DE1F14">
      <w:pPr>
        <w:pStyle w:val="ListParagraph"/>
        <w:numPr>
          <w:ilvl w:val="0"/>
          <w:numId w:val="23"/>
        </w:numPr>
      </w:pPr>
      <w:r>
        <w:t>Practical channel estimation</w:t>
      </w:r>
    </w:p>
    <w:p w14:paraId="7BE7E49C" w14:textId="77777777" w:rsidR="00DE1F14" w:rsidRPr="004209D7" w:rsidRDefault="00DE1F14" w:rsidP="00DE1F14">
      <w:pPr>
        <w:pStyle w:val="ListParagraph"/>
        <w:numPr>
          <w:ilvl w:val="0"/>
          <w:numId w:val="23"/>
        </w:numPr>
      </w:pPr>
      <w:r>
        <w:t>2 Rx antennas with MRC combining</w:t>
      </w:r>
    </w:p>
    <w:p w14:paraId="0A3A3494" w14:textId="77777777" w:rsidR="00DE1F14" w:rsidRPr="0063438F" w:rsidRDefault="00DE1F14" w:rsidP="00DE1F14">
      <w:pPr>
        <w:ind w:left="360"/>
        <w:jc w:val="center"/>
        <w:rPr>
          <w:b/>
        </w:rPr>
      </w:pPr>
      <w:r w:rsidRPr="0063438F">
        <w:rPr>
          <w:b/>
        </w:rPr>
        <w:t>Table 1: Number of PRBs corresponding to TBS of 280 bits</w:t>
      </w:r>
    </w:p>
    <w:tbl>
      <w:tblPr>
        <w:tblStyle w:val="TableGrid"/>
        <w:tblW w:w="0" w:type="auto"/>
        <w:jc w:val="center"/>
        <w:tblLook w:val="04A0" w:firstRow="1" w:lastRow="0" w:firstColumn="1" w:lastColumn="0" w:noHBand="0" w:noVBand="1"/>
      </w:tblPr>
      <w:tblGrid>
        <w:gridCol w:w="2977"/>
        <w:gridCol w:w="1227"/>
        <w:gridCol w:w="1228"/>
      </w:tblGrid>
      <w:tr w:rsidR="00DE1F14" w14:paraId="59EE4C1D" w14:textId="77777777" w:rsidTr="00E56354">
        <w:trPr>
          <w:jc w:val="center"/>
        </w:trPr>
        <w:tc>
          <w:tcPr>
            <w:tcW w:w="2977" w:type="dxa"/>
          </w:tcPr>
          <w:p w14:paraId="75FFC7A3" w14:textId="77777777" w:rsidR="00DE1F14" w:rsidRPr="0063438F" w:rsidRDefault="00DE1F14" w:rsidP="00E56354">
            <w:pPr>
              <w:jc w:val="center"/>
            </w:pPr>
            <w:r w:rsidRPr="0063438F">
              <w:t xml:space="preserve">Code rate/ mini-slot duration </w:t>
            </w:r>
          </w:p>
        </w:tc>
        <w:tc>
          <w:tcPr>
            <w:tcW w:w="1227" w:type="dxa"/>
          </w:tcPr>
          <w:p w14:paraId="709AA90E" w14:textId="77777777" w:rsidR="00DE1F14" w:rsidRDefault="00DE1F14" w:rsidP="00E56354">
            <w:pPr>
              <w:jc w:val="center"/>
            </w:pPr>
            <w:r>
              <w:t>4os</w:t>
            </w:r>
          </w:p>
        </w:tc>
        <w:tc>
          <w:tcPr>
            <w:tcW w:w="1228" w:type="dxa"/>
          </w:tcPr>
          <w:p w14:paraId="78546D34" w14:textId="77777777" w:rsidR="00DE1F14" w:rsidRDefault="00DE1F14" w:rsidP="00E56354">
            <w:pPr>
              <w:jc w:val="center"/>
            </w:pPr>
            <w:r>
              <w:t>7os</w:t>
            </w:r>
          </w:p>
        </w:tc>
      </w:tr>
      <w:tr w:rsidR="00DE1F14" w14:paraId="7F78C86A" w14:textId="77777777" w:rsidTr="00E56354">
        <w:trPr>
          <w:jc w:val="center"/>
        </w:trPr>
        <w:tc>
          <w:tcPr>
            <w:tcW w:w="2977" w:type="dxa"/>
          </w:tcPr>
          <w:p w14:paraId="25EAE7DA" w14:textId="77777777" w:rsidR="00DE1F14" w:rsidRPr="000579C5" w:rsidRDefault="00DE1F14" w:rsidP="00E56354">
            <w:pPr>
              <w:jc w:val="center"/>
            </w:pPr>
            <w:r w:rsidRPr="000579C5">
              <w:t>1</w:t>
            </w:r>
            <w:r>
              <w:t>/</w:t>
            </w:r>
            <w:r w:rsidRPr="000579C5">
              <w:t>5</w:t>
            </w:r>
          </w:p>
        </w:tc>
        <w:tc>
          <w:tcPr>
            <w:tcW w:w="1227" w:type="dxa"/>
          </w:tcPr>
          <w:p w14:paraId="3FCD5E94" w14:textId="77777777" w:rsidR="00DE1F14" w:rsidRPr="000579C5" w:rsidRDefault="00DE1F14" w:rsidP="00E56354">
            <w:pPr>
              <w:jc w:val="center"/>
            </w:pPr>
            <w:r>
              <w:t>18</w:t>
            </w:r>
          </w:p>
        </w:tc>
        <w:tc>
          <w:tcPr>
            <w:tcW w:w="1228" w:type="dxa"/>
          </w:tcPr>
          <w:p w14:paraId="44B21913" w14:textId="77777777" w:rsidR="00DE1F14" w:rsidRPr="000579C5" w:rsidRDefault="00DE1F14" w:rsidP="00E56354">
            <w:pPr>
              <w:jc w:val="center"/>
            </w:pPr>
            <w:r>
              <w:t>9</w:t>
            </w:r>
          </w:p>
        </w:tc>
      </w:tr>
      <w:tr w:rsidR="00DE1F14" w14:paraId="1AFACF07" w14:textId="77777777" w:rsidTr="00E56354">
        <w:trPr>
          <w:jc w:val="center"/>
        </w:trPr>
        <w:tc>
          <w:tcPr>
            <w:tcW w:w="2977" w:type="dxa"/>
          </w:tcPr>
          <w:p w14:paraId="57AD7488" w14:textId="77777777" w:rsidR="00DE1F14" w:rsidRPr="000579C5" w:rsidRDefault="00DE1F14" w:rsidP="00E56354">
            <w:pPr>
              <w:jc w:val="center"/>
            </w:pPr>
            <w:r>
              <w:t>1/10</w:t>
            </w:r>
          </w:p>
        </w:tc>
        <w:tc>
          <w:tcPr>
            <w:tcW w:w="1227" w:type="dxa"/>
          </w:tcPr>
          <w:p w14:paraId="345C6025" w14:textId="77777777" w:rsidR="00DE1F14" w:rsidRPr="000579C5" w:rsidRDefault="00DE1F14" w:rsidP="00E56354">
            <w:pPr>
              <w:jc w:val="center"/>
            </w:pPr>
            <w:r>
              <w:t>36</w:t>
            </w:r>
          </w:p>
        </w:tc>
        <w:tc>
          <w:tcPr>
            <w:tcW w:w="1228" w:type="dxa"/>
          </w:tcPr>
          <w:p w14:paraId="56E14401" w14:textId="77777777" w:rsidR="00DE1F14" w:rsidRPr="000579C5" w:rsidRDefault="00DE1F14" w:rsidP="00E56354">
            <w:pPr>
              <w:jc w:val="center"/>
            </w:pPr>
            <w:r>
              <w:t>18</w:t>
            </w:r>
          </w:p>
        </w:tc>
      </w:tr>
    </w:tbl>
    <w:p w14:paraId="135C605F" w14:textId="6401F846" w:rsidR="00DE1F14" w:rsidRDefault="00DE1F14" w:rsidP="00DE1F14">
      <w:pPr>
        <w:rPr>
          <w:lang w:eastAsia="zh-CN"/>
        </w:rPr>
      </w:pPr>
    </w:p>
    <w:p w14:paraId="3A9E7244" w14:textId="4D345034" w:rsidR="00DE1F14" w:rsidRDefault="00DE1F14" w:rsidP="00DE1F14">
      <w:pPr>
        <w:pStyle w:val="Heading2"/>
      </w:pPr>
      <w:r>
        <w:t>PUCCH simulation assumption</w:t>
      </w:r>
    </w:p>
    <w:p w14:paraId="56159772" w14:textId="77777777" w:rsidR="00DE1F14" w:rsidRPr="00AD484F" w:rsidRDefault="00DE1F14" w:rsidP="00DE1F14"/>
    <w:tbl>
      <w:tblPr>
        <w:tblStyle w:val="TableGrid"/>
        <w:tblW w:w="6804" w:type="dxa"/>
        <w:jc w:val="center"/>
        <w:tblLook w:val="04A0" w:firstRow="1" w:lastRow="0" w:firstColumn="1" w:lastColumn="0" w:noHBand="0" w:noVBand="1"/>
      </w:tblPr>
      <w:tblGrid>
        <w:gridCol w:w="1984"/>
        <w:gridCol w:w="4820"/>
      </w:tblGrid>
      <w:tr w:rsidR="00DE1F14" w:rsidRPr="000E4DF5" w14:paraId="547A406E" w14:textId="77777777" w:rsidTr="00E56354">
        <w:trPr>
          <w:jc w:val="center"/>
        </w:trPr>
        <w:tc>
          <w:tcPr>
            <w:tcW w:w="1984" w:type="dxa"/>
          </w:tcPr>
          <w:p w14:paraId="155FCDF7" w14:textId="77777777" w:rsidR="00DE1F14" w:rsidRPr="000E4DF5" w:rsidRDefault="00DE1F14" w:rsidP="00E56354">
            <w:r w:rsidRPr="00EC28DF">
              <w:t xml:space="preserve">Carrier </w:t>
            </w:r>
            <w:r w:rsidRPr="000E4DF5">
              <w:t>frequency</w:t>
            </w:r>
          </w:p>
        </w:tc>
        <w:tc>
          <w:tcPr>
            <w:tcW w:w="4820" w:type="dxa"/>
          </w:tcPr>
          <w:p w14:paraId="176D3AEC" w14:textId="77777777" w:rsidR="00DE1F14" w:rsidRPr="000E4DF5" w:rsidRDefault="00DE1F14" w:rsidP="00E56354">
            <w:r w:rsidRPr="000E4DF5">
              <w:t>4 GHz</w:t>
            </w:r>
          </w:p>
        </w:tc>
      </w:tr>
      <w:tr w:rsidR="00DE1F14" w:rsidRPr="000E4DF5" w14:paraId="7BD64ACE" w14:textId="77777777" w:rsidTr="00E56354">
        <w:trPr>
          <w:jc w:val="center"/>
        </w:trPr>
        <w:tc>
          <w:tcPr>
            <w:tcW w:w="1984" w:type="dxa"/>
          </w:tcPr>
          <w:p w14:paraId="7106ADD9" w14:textId="77777777" w:rsidR="00DE1F14" w:rsidRPr="000E4DF5" w:rsidRDefault="00DE1F14" w:rsidP="00E56354">
            <w:r w:rsidRPr="000E4DF5">
              <w:lastRenderedPageBreak/>
              <w:t>Bandwidth</w:t>
            </w:r>
          </w:p>
        </w:tc>
        <w:tc>
          <w:tcPr>
            <w:tcW w:w="4820" w:type="dxa"/>
          </w:tcPr>
          <w:p w14:paraId="284861A2" w14:textId="77777777" w:rsidR="00DE1F14" w:rsidRPr="000E4DF5" w:rsidRDefault="00DE1F14" w:rsidP="00E56354">
            <w:r w:rsidRPr="000E4DF5">
              <w:t>20 MHz</w:t>
            </w:r>
          </w:p>
        </w:tc>
      </w:tr>
      <w:tr w:rsidR="00DE1F14" w:rsidRPr="000E4DF5" w14:paraId="005924B5" w14:textId="77777777" w:rsidTr="00E56354">
        <w:trPr>
          <w:jc w:val="center"/>
        </w:trPr>
        <w:tc>
          <w:tcPr>
            <w:tcW w:w="1984" w:type="dxa"/>
          </w:tcPr>
          <w:p w14:paraId="6700C190" w14:textId="77777777" w:rsidR="00DE1F14" w:rsidRPr="000E4DF5" w:rsidRDefault="00DE1F14" w:rsidP="00E56354">
            <w:r w:rsidRPr="000E4DF5">
              <w:t>PHY resources</w:t>
            </w:r>
          </w:p>
        </w:tc>
        <w:tc>
          <w:tcPr>
            <w:tcW w:w="4820" w:type="dxa"/>
          </w:tcPr>
          <w:p w14:paraId="230E8D8D" w14:textId="77777777" w:rsidR="00DE1F14" w:rsidRPr="000E4DF5" w:rsidRDefault="00DE1F14" w:rsidP="00E56354">
            <w:r>
              <w:t>4 P</w:t>
            </w:r>
            <w:r w:rsidRPr="000E4DF5">
              <w:t>RB</w:t>
            </w:r>
          </w:p>
        </w:tc>
      </w:tr>
      <w:tr w:rsidR="00DE1F14" w:rsidRPr="000332D9" w14:paraId="0DAB94BC" w14:textId="77777777" w:rsidTr="00E56354">
        <w:trPr>
          <w:jc w:val="center"/>
        </w:trPr>
        <w:tc>
          <w:tcPr>
            <w:tcW w:w="1984" w:type="dxa"/>
          </w:tcPr>
          <w:p w14:paraId="76E1D5FE" w14:textId="77777777" w:rsidR="00DE1F14" w:rsidRPr="000E4DF5" w:rsidRDefault="00DE1F14" w:rsidP="00E56354">
            <w:r w:rsidRPr="000E4DF5">
              <w:t>Channel model</w:t>
            </w:r>
          </w:p>
        </w:tc>
        <w:tc>
          <w:tcPr>
            <w:tcW w:w="4820" w:type="dxa"/>
          </w:tcPr>
          <w:p w14:paraId="50DB71DA" w14:textId="77777777" w:rsidR="00DE1F14" w:rsidRPr="00AD484F" w:rsidRDefault="00DE1F14" w:rsidP="00E56354">
            <w:r w:rsidRPr="00AD484F">
              <w:t>TDL-</w:t>
            </w:r>
            <w:r>
              <w:t>C</w:t>
            </w:r>
            <w:r w:rsidRPr="00AD484F">
              <w:t xml:space="preserve"> with delay spread</w:t>
            </w:r>
            <w:r>
              <w:t xml:space="preserve"> </w:t>
            </w:r>
          </w:p>
        </w:tc>
      </w:tr>
      <w:tr w:rsidR="00DE1F14" w14:paraId="64C46513" w14:textId="77777777" w:rsidTr="00E56354">
        <w:trPr>
          <w:jc w:val="center"/>
        </w:trPr>
        <w:tc>
          <w:tcPr>
            <w:tcW w:w="1984" w:type="dxa"/>
          </w:tcPr>
          <w:p w14:paraId="0A75B04A" w14:textId="77777777" w:rsidR="00DE1F14" w:rsidRPr="000E4DF5" w:rsidRDefault="00DE1F14" w:rsidP="00E56354">
            <w:r w:rsidRPr="00AD484F">
              <w:t>delay spread</w:t>
            </w:r>
          </w:p>
        </w:tc>
        <w:tc>
          <w:tcPr>
            <w:tcW w:w="4820" w:type="dxa"/>
          </w:tcPr>
          <w:p w14:paraId="5FF8BF01" w14:textId="77777777" w:rsidR="00DE1F14" w:rsidRDefault="00DE1F14" w:rsidP="00E56354">
            <w:r>
              <w:t>300ns</w:t>
            </w:r>
          </w:p>
        </w:tc>
      </w:tr>
      <w:tr w:rsidR="00DE1F14" w14:paraId="41D3A0AF" w14:textId="77777777" w:rsidTr="00E56354">
        <w:trPr>
          <w:jc w:val="center"/>
        </w:trPr>
        <w:tc>
          <w:tcPr>
            <w:tcW w:w="1984" w:type="dxa"/>
          </w:tcPr>
          <w:p w14:paraId="5D667054" w14:textId="77777777" w:rsidR="00DE1F14" w:rsidRPr="000E4DF5" w:rsidRDefault="00DE1F14" w:rsidP="00E56354">
            <w:r w:rsidRPr="000E4DF5">
              <w:t>UE speed:</w:t>
            </w:r>
            <w:r w:rsidRPr="000E4DF5">
              <w:tab/>
            </w:r>
          </w:p>
        </w:tc>
        <w:tc>
          <w:tcPr>
            <w:tcW w:w="4820" w:type="dxa"/>
          </w:tcPr>
          <w:p w14:paraId="3DF02BF8" w14:textId="77777777" w:rsidR="00DE1F14" w:rsidRPr="000E4DF5" w:rsidRDefault="00DE1F14" w:rsidP="00E56354">
            <w:r w:rsidRPr="000E4DF5">
              <w:t>3 km</w:t>
            </w:r>
            <w:r w:rsidRPr="00B91D93">
              <w:t xml:space="preserve">/h </w:t>
            </w:r>
            <w:r w:rsidRPr="00B91D93">
              <w:tab/>
            </w:r>
          </w:p>
        </w:tc>
      </w:tr>
      <w:tr w:rsidR="00DE1F14" w14:paraId="12A5BC43" w14:textId="77777777" w:rsidTr="00E56354">
        <w:trPr>
          <w:jc w:val="center"/>
        </w:trPr>
        <w:tc>
          <w:tcPr>
            <w:tcW w:w="1984" w:type="dxa"/>
          </w:tcPr>
          <w:p w14:paraId="6EC84060" w14:textId="77777777" w:rsidR="00DE1F14" w:rsidRDefault="00DE1F14" w:rsidP="00E56354">
            <w:r>
              <w:t>antennas</w:t>
            </w:r>
          </w:p>
        </w:tc>
        <w:tc>
          <w:tcPr>
            <w:tcW w:w="4820" w:type="dxa"/>
          </w:tcPr>
          <w:p w14:paraId="135A84CF" w14:textId="77777777" w:rsidR="00DE1F14" w:rsidRPr="00576DDE" w:rsidRDefault="00DE1F14" w:rsidP="00E56354">
            <w:r>
              <w:t xml:space="preserve">1 </w:t>
            </w:r>
            <w:r w:rsidRPr="00B91D93">
              <w:t xml:space="preserve">Tx </w:t>
            </w:r>
            <w:r>
              <w:t>and 2/4/8 Rx</w:t>
            </w:r>
          </w:p>
        </w:tc>
      </w:tr>
      <w:tr w:rsidR="00DE1F14" w14:paraId="3EE8ED3B" w14:textId="77777777" w:rsidTr="00E56354">
        <w:trPr>
          <w:jc w:val="center"/>
        </w:trPr>
        <w:tc>
          <w:tcPr>
            <w:tcW w:w="1984" w:type="dxa"/>
          </w:tcPr>
          <w:p w14:paraId="7B341F9E" w14:textId="77777777" w:rsidR="00DE1F14" w:rsidRDefault="00DE1F14" w:rsidP="00E56354">
            <w:r w:rsidRPr="00B91D93">
              <w:t>SCS</w:t>
            </w:r>
          </w:p>
        </w:tc>
        <w:tc>
          <w:tcPr>
            <w:tcW w:w="4820" w:type="dxa"/>
          </w:tcPr>
          <w:p w14:paraId="19ADE2F7" w14:textId="77777777" w:rsidR="00DE1F14" w:rsidRDefault="00DE1F14" w:rsidP="00E56354">
            <w:r w:rsidRPr="00B91D93">
              <w:t>15 kHz</w:t>
            </w:r>
          </w:p>
        </w:tc>
      </w:tr>
      <w:tr w:rsidR="00DE1F14" w14:paraId="3056E579" w14:textId="77777777" w:rsidTr="00E56354">
        <w:trPr>
          <w:jc w:val="center"/>
        </w:trPr>
        <w:tc>
          <w:tcPr>
            <w:tcW w:w="1984" w:type="dxa"/>
          </w:tcPr>
          <w:p w14:paraId="08E1BF90" w14:textId="77777777" w:rsidR="00DE1F14" w:rsidRDefault="00DE1F14" w:rsidP="00E56354">
            <w:r w:rsidRPr="00B91D93">
              <w:t>Channel estimation</w:t>
            </w:r>
          </w:p>
        </w:tc>
        <w:tc>
          <w:tcPr>
            <w:tcW w:w="4820" w:type="dxa"/>
          </w:tcPr>
          <w:p w14:paraId="577EA398" w14:textId="77777777" w:rsidR="00DE1F14" w:rsidRDefault="00DE1F14" w:rsidP="00E56354">
            <w:r w:rsidRPr="00B91D93">
              <w:t>practical</w:t>
            </w:r>
          </w:p>
        </w:tc>
      </w:tr>
      <w:tr w:rsidR="00DE1F14" w14:paraId="37644030" w14:textId="77777777" w:rsidTr="00E56354">
        <w:trPr>
          <w:jc w:val="center"/>
        </w:trPr>
        <w:tc>
          <w:tcPr>
            <w:tcW w:w="1984" w:type="dxa"/>
          </w:tcPr>
          <w:p w14:paraId="10AE11FA" w14:textId="77777777" w:rsidR="00DE1F14" w:rsidRDefault="00DE1F14" w:rsidP="00E56354">
            <w:r w:rsidRPr="00B91D93">
              <w:t>Noise estimation</w:t>
            </w:r>
          </w:p>
        </w:tc>
        <w:tc>
          <w:tcPr>
            <w:tcW w:w="4820" w:type="dxa"/>
          </w:tcPr>
          <w:p w14:paraId="00F44E16" w14:textId="77777777" w:rsidR="00DE1F14" w:rsidRDefault="00DE1F14" w:rsidP="00E56354">
            <w:r w:rsidRPr="00B91D93">
              <w:t>ideal</w:t>
            </w:r>
          </w:p>
        </w:tc>
      </w:tr>
    </w:tbl>
    <w:p w14:paraId="2118F902" w14:textId="77777777" w:rsidR="00DE1F14" w:rsidRPr="00DE1F14" w:rsidRDefault="00DE1F14" w:rsidP="00DE1F14">
      <w:pPr>
        <w:rPr>
          <w:lang w:eastAsia="zh-CN"/>
        </w:rPr>
      </w:pPr>
    </w:p>
    <w:sectPr w:rsidR="00DE1F14" w:rsidRPr="00DE1F14" w:rsidSect="00136C0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4DAD4" w14:textId="77777777" w:rsidR="00083793" w:rsidRDefault="00083793">
      <w:r>
        <w:separator/>
      </w:r>
    </w:p>
  </w:endnote>
  <w:endnote w:type="continuationSeparator" w:id="0">
    <w:p w14:paraId="76C61634" w14:textId="77777777" w:rsidR="00083793" w:rsidRDefault="0008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4E081" w14:textId="77777777" w:rsidR="00083793" w:rsidRDefault="00083793">
      <w:r>
        <w:separator/>
      </w:r>
    </w:p>
  </w:footnote>
  <w:footnote w:type="continuationSeparator" w:id="0">
    <w:p w14:paraId="3AF2CAB5" w14:textId="77777777" w:rsidR="00083793" w:rsidRDefault="00083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061936"/>
    <w:multiLevelType w:val="hybridMultilevel"/>
    <w:tmpl w:val="68666AE6"/>
    <w:lvl w:ilvl="0" w:tplc="CA70C588">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13"/>
  </w:num>
  <w:num w:numId="19">
    <w:abstractNumId w:val="11"/>
  </w:num>
  <w:num w:numId="20">
    <w:abstractNumId w:val="9"/>
  </w:num>
  <w:num w:numId="21">
    <w:abstractNumId w:val="21"/>
  </w:num>
  <w:num w:numId="22">
    <w:abstractNumId w:val="6"/>
  </w:num>
  <w:num w:numId="23">
    <w:abstractNumId w:val="5"/>
  </w:num>
  <w:num w:numId="24">
    <w:abstractNumId w:val="19"/>
    <w:lvlOverride w:ilvl="0">
      <w:startOverride w:val="1"/>
    </w:lvlOverride>
  </w:num>
  <w:num w:numId="25">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7CDC"/>
    <w:rsid w:val="00011B28"/>
    <w:rsid w:val="00015D15"/>
    <w:rsid w:val="0002531D"/>
    <w:rsid w:val="0002564D"/>
    <w:rsid w:val="00025ECA"/>
    <w:rsid w:val="000325B8"/>
    <w:rsid w:val="000332D9"/>
    <w:rsid w:val="0003463A"/>
    <w:rsid w:val="00034C15"/>
    <w:rsid w:val="00036BA1"/>
    <w:rsid w:val="000422E2"/>
    <w:rsid w:val="00042F22"/>
    <w:rsid w:val="000444EF"/>
    <w:rsid w:val="00052A07"/>
    <w:rsid w:val="000534E3"/>
    <w:rsid w:val="0005606A"/>
    <w:rsid w:val="00057117"/>
    <w:rsid w:val="000616E7"/>
    <w:rsid w:val="00064338"/>
    <w:rsid w:val="0006487E"/>
    <w:rsid w:val="00065E1A"/>
    <w:rsid w:val="00077E5F"/>
    <w:rsid w:val="0008036A"/>
    <w:rsid w:val="00081AE6"/>
    <w:rsid w:val="00083793"/>
    <w:rsid w:val="00084978"/>
    <w:rsid w:val="000855EB"/>
    <w:rsid w:val="00085B52"/>
    <w:rsid w:val="000866F2"/>
    <w:rsid w:val="0009009F"/>
    <w:rsid w:val="00091557"/>
    <w:rsid w:val="000924C1"/>
    <w:rsid w:val="000924F0"/>
    <w:rsid w:val="00093474"/>
    <w:rsid w:val="0009510F"/>
    <w:rsid w:val="0009567B"/>
    <w:rsid w:val="000A1B7B"/>
    <w:rsid w:val="000A56F2"/>
    <w:rsid w:val="000B2719"/>
    <w:rsid w:val="000B3A8F"/>
    <w:rsid w:val="000B4AB9"/>
    <w:rsid w:val="000B58C3"/>
    <w:rsid w:val="000B61E9"/>
    <w:rsid w:val="000C165A"/>
    <w:rsid w:val="000C2271"/>
    <w:rsid w:val="000C2E19"/>
    <w:rsid w:val="000D0D07"/>
    <w:rsid w:val="000D4797"/>
    <w:rsid w:val="000D6DC3"/>
    <w:rsid w:val="000E0527"/>
    <w:rsid w:val="000E1E92"/>
    <w:rsid w:val="000E69FA"/>
    <w:rsid w:val="000F06D6"/>
    <w:rsid w:val="000F0EB1"/>
    <w:rsid w:val="000F1106"/>
    <w:rsid w:val="000F2EFA"/>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6C0B"/>
    <w:rsid w:val="00137AB5"/>
    <w:rsid w:val="00137F0B"/>
    <w:rsid w:val="00151E23"/>
    <w:rsid w:val="001521A7"/>
    <w:rsid w:val="001526E0"/>
    <w:rsid w:val="001551B5"/>
    <w:rsid w:val="001659C1"/>
    <w:rsid w:val="00173A8E"/>
    <w:rsid w:val="00177795"/>
    <w:rsid w:val="00180E99"/>
    <w:rsid w:val="0018143F"/>
    <w:rsid w:val="00190AC1"/>
    <w:rsid w:val="0019341A"/>
    <w:rsid w:val="00197DF9"/>
    <w:rsid w:val="001A1987"/>
    <w:rsid w:val="001A2564"/>
    <w:rsid w:val="001A6173"/>
    <w:rsid w:val="001A6CBA"/>
    <w:rsid w:val="001B0D97"/>
    <w:rsid w:val="001B10D2"/>
    <w:rsid w:val="001B5A5D"/>
    <w:rsid w:val="001C1CE5"/>
    <w:rsid w:val="001C3D2A"/>
    <w:rsid w:val="001C5379"/>
    <w:rsid w:val="001D51BA"/>
    <w:rsid w:val="001D6342"/>
    <w:rsid w:val="001D6D53"/>
    <w:rsid w:val="001D7228"/>
    <w:rsid w:val="001E58E2"/>
    <w:rsid w:val="001E5C09"/>
    <w:rsid w:val="001E7AED"/>
    <w:rsid w:val="001F3916"/>
    <w:rsid w:val="001F54C5"/>
    <w:rsid w:val="001F662C"/>
    <w:rsid w:val="001F7074"/>
    <w:rsid w:val="00200490"/>
    <w:rsid w:val="00201F3A"/>
    <w:rsid w:val="00203F96"/>
    <w:rsid w:val="002069B2"/>
    <w:rsid w:val="00207FA3"/>
    <w:rsid w:val="0021333C"/>
    <w:rsid w:val="00214DA8"/>
    <w:rsid w:val="00215423"/>
    <w:rsid w:val="002158FA"/>
    <w:rsid w:val="00220600"/>
    <w:rsid w:val="002224DB"/>
    <w:rsid w:val="00223FCB"/>
    <w:rsid w:val="002252C3"/>
    <w:rsid w:val="00225C54"/>
    <w:rsid w:val="00230765"/>
    <w:rsid w:val="002319E4"/>
    <w:rsid w:val="00235632"/>
    <w:rsid w:val="00235872"/>
    <w:rsid w:val="00235DDC"/>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36D7B"/>
    <w:rsid w:val="00342BD7"/>
    <w:rsid w:val="00343A07"/>
    <w:rsid w:val="00343B72"/>
    <w:rsid w:val="00346DB5"/>
    <w:rsid w:val="003477B1"/>
    <w:rsid w:val="00357380"/>
    <w:rsid w:val="003602D9"/>
    <w:rsid w:val="003604CE"/>
    <w:rsid w:val="00360EFC"/>
    <w:rsid w:val="00364B46"/>
    <w:rsid w:val="00367175"/>
    <w:rsid w:val="00370E47"/>
    <w:rsid w:val="003742AC"/>
    <w:rsid w:val="00377CE1"/>
    <w:rsid w:val="00385BF0"/>
    <w:rsid w:val="003939FF"/>
    <w:rsid w:val="003A2223"/>
    <w:rsid w:val="003A2A0F"/>
    <w:rsid w:val="003A45A1"/>
    <w:rsid w:val="003A5B0A"/>
    <w:rsid w:val="003A687A"/>
    <w:rsid w:val="003A6BAC"/>
    <w:rsid w:val="003A7EF3"/>
    <w:rsid w:val="003B159C"/>
    <w:rsid w:val="003B369F"/>
    <w:rsid w:val="003B36A3"/>
    <w:rsid w:val="003B7FE5"/>
    <w:rsid w:val="003C0D5F"/>
    <w:rsid w:val="003C11C8"/>
    <w:rsid w:val="003C1874"/>
    <w:rsid w:val="003C2702"/>
    <w:rsid w:val="003C7806"/>
    <w:rsid w:val="003D109F"/>
    <w:rsid w:val="003D2188"/>
    <w:rsid w:val="003D2478"/>
    <w:rsid w:val="003D3C45"/>
    <w:rsid w:val="003D5B1F"/>
    <w:rsid w:val="003D7FEF"/>
    <w:rsid w:val="003E15FA"/>
    <w:rsid w:val="003E55E4"/>
    <w:rsid w:val="003E74E3"/>
    <w:rsid w:val="003F05C7"/>
    <w:rsid w:val="003F2CD4"/>
    <w:rsid w:val="003F3C0A"/>
    <w:rsid w:val="003F6BBE"/>
    <w:rsid w:val="004000E8"/>
    <w:rsid w:val="00402E2B"/>
    <w:rsid w:val="0040512B"/>
    <w:rsid w:val="00405CA5"/>
    <w:rsid w:val="00407CD3"/>
    <w:rsid w:val="00410134"/>
    <w:rsid w:val="00410256"/>
    <w:rsid w:val="00410B72"/>
    <w:rsid w:val="00410F18"/>
    <w:rsid w:val="0041263E"/>
    <w:rsid w:val="00413AAC"/>
    <w:rsid w:val="00414595"/>
    <w:rsid w:val="00420BCA"/>
    <w:rsid w:val="00421105"/>
    <w:rsid w:val="004242F4"/>
    <w:rsid w:val="00427248"/>
    <w:rsid w:val="0043557E"/>
    <w:rsid w:val="00437447"/>
    <w:rsid w:val="00441A92"/>
    <w:rsid w:val="00444F56"/>
    <w:rsid w:val="00446488"/>
    <w:rsid w:val="004517AA"/>
    <w:rsid w:val="00452CAC"/>
    <w:rsid w:val="00457565"/>
    <w:rsid w:val="00457B71"/>
    <w:rsid w:val="004669E2"/>
    <w:rsid w:val="00470C31"/>
    <w:rsid w:val="004734D0"/>
    <w:rsid w:val="0047556B"/>
    <w:rsid w:val="00476DC2"/>
    <w:rsid w:val="00477768"/>
    <w:rsid w:val="00492BC5"/>
    <w:rsid w:val="004964F1"/>
    <w:rsid w:val="004A16BC"/>
    <w:rsid w:val="004A248D"/>
    <w:rsid w:val="004A2B94"/>
    <w:rsid w:val="004A6361"/>
    <w:rsid w:val="004B7C0C"/>
    <w:rsid w:val="004C3898"/>
    <w:rsid w:val="004D0670"/>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552E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74FB"/>
    <w:rsid w:val="005D1602"/>
    <w:rsid w:val="005E385F"/>
    <w:rsid w:val="005E5B81"/>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438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1824"/>
    <w:rsid w:val="006D6E43"/>
    <w:rsid w:val="006D6F08"/>
    <w:rsid w:val="006E062C"/>
    <w:rsid w:val="006E28B7"/>
    <w:rsid w:val="006E3310"/>
    <w:rsid w:val="006E4E39"/>
    <w:rsid w:val="006E565E"/>
    <w:rsid w:val="006E673D"/>
    <w:rsid w:val="006E7835"/>
    <w:rsid w:val="006E7D3B"/>
    <w:rsid w:val="006F1B70"/>
    <w:rsid w:val="006F341D"/>
    <w:rsid w:val="006F354B"/>
    <w:rsid w:val="006F3CDE"/>
    <w:rsid w:val="006F3D5D"/>
    <w:rsid w:val="006F58D4"/>
    <w:rsid w:val="0070346E"/>
    <w:rsid w:val="00704EDB"/>
    <w:rsid w:val="0070528D"/>
    <w:rsid w:val="00706101"/>
    <w:rsid w:val="00707072"/>
    <w:rsid w:val="00707D61"/>
    <w:rsid w:val="00710ED2"/>
    <w:rsid w:val="00712287"/>
    <w:rsid w:val="00712772"/>
    <w:rsid w:val="007148D3"/>
    <w:rsid w:val="00715B9A"/>
    <w:rsid w:val="00725A7A"/>
    <w:rsid w:val="00726EA6"/>
    <w:rsid w:val="00727208"/>
    <w:rsid w:val="00727680"/>
    <w:rsid w:val="00732461"/>
    <w:rsid w:val="007348B1"/>
    <w:rsid w:val="007362A6"/>
    <w:rsid w:val="00736D7D"/>
    <w:rsid w:val="00740E58"/>
    <w:rsid w:val="00743EA6"/>
    <w:rsid w:val="007445A0"/>
    <w:rsid w:val="0074524B"/>
    <w:rsid w:val="00747D8B"/>
    <w:rsid w:val="00751228"/>
    <w:rsid w:val="007571E1"/>
    <w:rsid w:val="007604B2"/>
    <w:rsid w:val="00765281"/>
    <w:rsid w:val="007657D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BEE"/>
    <w:rsid w:val="008376AC"/>
    <w:rsid w:val="008444E8"/>
    <w:rsid w:val="00844E80"/>
    <w:rsid w:val="00846FE7"/>
    <w:rsid w:val="00856911"/>
    <w:rsid w:val="00857CBD"/>
    <w:rsid w:val="00865D07"/>
    <w:rsid w:val="008677FD"/>
    <w:rsid w:val="00867A80"/>
    <w:rsid w:val="008706D4"/>
    <w:rsid w:val="00870F8A"/>
    <w:rsid w:val="008719A4"/>
    <w:rsid w:val="00871D23"/>
    <w:rsid w:val="00874312"/>
    <w:rsid w:val="0087437C"/>
    <w:rsid w:val="00875CD7"/>
    <w:rsid w:val="00876B4D"/>
    <w:rsid w:val="00877F18"/>
    <w:rsid w:val="00884C6F"/>
    <w:rsid w:val="00894A88"/>
    <w:rsid w:val="00895386"/>
    <w:rsid w:val="008A21FF"/>
    <w:rsid w:val="008A2CE2"/>
    <w:rsid w:val="008A30AC"/>
    <w:rsid w:val="008A44B8"/>
    <w:rsid w:val="008A4D59"/>
    <w:rsid w:val="008A51A8"/>
    <w:rsid w:val="008A54C7"/>
    <w:rsid w:val="008A77D8"/>
    <w:rsid w:val="008B0483"/>
    <w:rsid w:val="008B120C"/>
    <w:rsid w:val="008B51A0"/>
    <w:rsid w:val="008B592A"/>
    <w:rsid w:val="008B7B5C"/>
    <w:rsid w:val="008C0C99"/>
    <w:rsid w:val="008C1156"/>
    <w:rsid w:val="008C2017"/>
    <w:rsid w:val="008C4958"/>
    <w:rsid w:val="008C4BAA"/>
    <w:rsid w:val="008C6AE8"/>
    <w:rsid w:val="008C7573"/>
    <w:rsid w:val="008D34F1"/>
    <w:rsid w:val="008D39D8"/>
    <w:rsid w:val="008D6D1A"/>
    <w:rsid w:val="008E065E"/>
    <w:rsid w:val="008E0927"/>
    <w:rsid w:val="008E0F94"/>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EB"/>
    <w:rsid w:val="00980477"/>
    <w:rsid w:val="00980B8C"/>
    <w:rsid w:val="00985253"/>
    <w:rsid w:val="009853B3"/>
    <w:rsid w:val="00987690"/>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3931"/>
    <w:rsid w:val="009C403E"/>
    <w:rsid w:val="009D16CD"/>
    <w:rsid w:val="009D4FF0"/>
    <w:rsid w:val="009D639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52E1D"/>
    <w:rsid w:val="00A61499"/>
    <w:rsid w:val="00A62A77"/>
    <w:rsid w:val="00A63483"/>
    <w:rsid w:val="00A657D7"/>
    <w:rsid w:val="00A660AC"/>
    <w:rsid w:val="00A66157"/>
    <w:rsid w:val="00A67E6C"/>
    <w:rsid w:val="00A71B99"/>
    <w:rsid w:val="00A739D0"/>
    <w:rsid w:val="00A761D4"/>
    <w:rsid w:val="00A77EC4"/>
    <w:rsid w:val="00A92879"/>
    <w:rsid w:val="00A9442A"/>
    <w:rsid w:val="00AA016F"/>
    <w:rsid w:val="00AA1ED6"/>
    <w:rsid w:val="00AA37EF"/>
    <w:rsid w:val="00AA51D6"/>
    <w:rsid w:val="00AB0BC8"/>
    <w:rsid w:val="00AB11CA"/>
    <w:rsid w:val="00AB14D9"/>
    <w:rsid w:val="00AB4844"/>
    <w:rsid w:val="00AB4AB8"/>
    <w:rsid w:val="00AB655E"/>
    <w:rsid w:val="00AC007F"/>
    <w:rsid w:val="00AC2ECD"/>
    <w:rsid w:val="00AC3119"/>
    <w:rsid w:val="00AC49FB"/>
    <w:rsid w:val="00AC5A10"/>
    <w:rsid w:val="00AC7330"/>
    <w:rsid w:val="00AD0AA3"/>
    <w:rsid w:val="00AD300E"/>
    <w:rsid w:val="00AD3F94"/>
    <w:rsid w:val="00AD4A5A"/>
    <w:rsid w:val="00AE27AC"/>
    <w:rsid w:val="00AE2834"/>
    <w:rsid w:val="00AE40E0"/>
    <w:rsid w:val="00AE4DBA"/>
    <w:rsid w:val="00AE4F07"/>
    <w:rsid w:val="00AE52CC"/>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4C69"/>
    <w:rsid w:val="00B372AA"/>
    <w:rsid w:val="00B40445"/>
    <w:rsid w:val="00B40BEF"/>
    <w:rsid w:val="00B41888"/>
    <w:rsid w:val="00B41BC4"/>
    <w:rsid w:val="00B45A52"/>
    <w:rsid w:val="00B46175"/>
    <w:rsid w:val="00B6188F"/>
    <w:rsid w:val="00B664C7"/>
    <w:rsid w:val="00B739F6"/>
    <w:rsid w:val="00B81A6C"/>
    <w:rsid w:val="00B83CA6"/>
    <w:rsid w:val="00B85DE5"/>
    <w:rsid w:val="00B90F73"/>
    <w:rsid w:val="00B93B59"/>
    <w:rsid w:val="00B9406A"/>
    <w:rsid w:val="00B97752"/>
    <w:rsid w:val="00BA2280"/>
    <w:rsid w:val="00BA2A08"/>
    <w:rsid w:val="00BA56D2"/>
    <w:rsid w:val="00BA76E0"/>
    <w:rsid w:val="00BB1CF9"/>
    <w:rsid w:val="00BB2A25"/>
    <w:rsid w:val="00BB51E9"/>
    <w:rsid w:val="00BC0FDC"/>
    <w:rsid w:val="00BC3053"/>
    <w:rsid w:val="00BC4D2E"/>
    <w:rsid w:val="00BD3C1F"/>
    <w:rsid w:val="00BD48AC"/>
    <w:rsid w:val="00BD5F1A"/>
    <w:rsid w:val="00BE1234"/>
    <w:rsid w:val="00BE2FA6"/>
    <w:rsid w:val="00BE333F"/>
    <w:rsid w:val="00BE7406"/>
    <w:rsid w:val="00BE7603"/>
    <w:rsid w:val="00BF3279"/>
    <w:rsid w:val="00BF6A99"/>
    <w:rsid w:val="00BF74C7"/>
    <w:rsid w:val="00C015F1"/>
    <w:rsid w:val="00C01F33"/>
    <w:rsid w:val="00C02CC6"/>
    <w:rsid w:val="00C040F7"/>
    <w:rsid w:val="00C041B0"/>
    <w:rsid w:val="00C044AB"/>
    <w:rsid w:val="00C048CA"/>
    <w:rsid w:val="00C05706"/>
    <w:rsid w:val="00C07377"/>
    <w:rsid w:val="00C10478"/>
    <w:rsid w:val="00C11ED2"/>
    <w:rsid w:val="00C12107"/>
    <w:rsid w:val="00C14D4B"/>
    <w:rsid w:val="00C154BB"/>
    <w:rsid w:val="00C279B5"/>
    <w:rsid w:val="00C27C45"/>
    <w:rsid w:val="00C3719D"/>
    <w:rsid w:val="00C54995"/>
    <w:rsid w:val="00C54D41"/>
    <w:rsid w:val="00C60783"/>
    <w:rsid w:val="00C63CAD"/>
    <w:rsid w:val="00C64672"/>
    <w:rsid w:val="00C70697"/>
    <w:rsid w:val="00C72EF4"/>
    <w:rsid w:val="00C73931"/>
    <w:rsid w:val="00C75059"/>
    <w:rsid w:val="00C75D2F"/>
    <w:rsid w:val="00C767BE"/>
    <w:rsid w:val="00C76E3C"/>
    <w:rsid w:val="00C809D0"/>
    <w:rsid w:val="00C81568"/>
    <w:rsid w:val="00C9027A"/>
    <w:rsid w:val="00C9068E"/>
    <w:rsid w:val="00C93C4B"/>
    <w:rsid w:val="00C944AB"/>
    <w:rsid w:val="00C95B40"/>
    <w:rsid w:val="00CA1ED8"/>
    <w:rsid w:val="00CB1F63"/>
    <w:rsid w:val="00CB7170"/>
    <w:rsid w:val="00CC040E"/>
    <w:rsid w:val="00CC111F"/>
    <w:rsid w:val="00CC1744"/>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959"/>
    <w:rsid w:val="00D708B0"/>
    <w:rsid w:val="00D77B1D"/>
    <w:rsid w:val="00D8021F"/>
    <w:rsid w:val="00D80383"/>
    <w:rsid w:val="00D823C6"/>
    <w:rsid w:val="00D86CA3"/>
    <w:rsid w:val="00D871CE"/>
    <w:rsid w:val="00D90B62"/>
    <w:rsid w:val="00D9196D"/>
    <w:rsid w:val="00D92982"/>
    <w:rsid w:val="00D95CA9"/>
    <w:rsid w:val="00D96DEB"/>
    <w:rsid w:val="00DA305E"/>
    <w:rsid w:val="00DA4EFA"/>
    <w:rsid w:val="00DA5417"/>
    <w:rsid w:val="00DA56E8"/>
    <w:rsid w:val="00DB0A9F"/>
    <w:rsid w:val="00DB377D"/>
    <w:rsid w:val="00DC1614"/>
    <w:rsid w:val="00DC2D36"/>
    <w:rsid w:val="00DC53EF"/>
    <w:rsid w:val="00DD4178"/>
    <w:rsid w:val="00DD48F8"/>
    <w:rsid w:val="00DE1F14"/>
    <w:rsid w:val="00DE5608"/>
    <w:rsid w:val="00DE58D0"/>
    <w:rsid w:val="00DE654F"/>
    <w:rsid w:val="00DF07CB"/>
    <w:rsid w:val="00DF0B6E"/>
    <w:rsid w:val="00DF15E0"/>
    <w:rsid w:val="00DF2A2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0865"/>
    <w:rsid w:val="00E446F1"/>
    <w:rsid w:val="00E46886"/>
    <w:rsid w:val="00E47AEF"/>
    <w:rsid w:val="00E53B75"/>
    <w:rsid w:val="00E54E3B"/>
    <w:rsid w:val="00E57565"/>
    <w:rsid w:val="00E63838"/>
    <w:rsid w:val="00E64434"/>
    <w:rsid w:val="00E660D3"/>
    <w:rsid w:val="00E67C51"/>
    <w:rsid w:val="00E72EFC"/>
    <w:rsid w:val="00E758EC"/>
    <w:rsid w:val="00E8234C"/>
    <w:rsid w:val="00E830FB"/>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C3E"/>
    <w:rsid w:val="00EF18FE"/>
    <w:rsid w:val="00EF5787"/>
    <w:rsid w:val="00EF60D0"/>
    <w:rsid w:val="00F01760"/>
    <w:rsid w:val="00F04CCB"/>
    <w:rsid w:val="00F0528D"/>
    <w:rsid w:val="00F06C67"/>
    <w:rsid w:val="00F06DFD"/>
    <w:rsid w:val="00F071D1"/>
    <w:rsid w:val="00F07533"/>
    <w:rsid w:val="00F10629"/>
    <w:rsid w:val="00F14320"/>
    <w:rsid w:val="00F154BD"/>
    <w:rsid w:val="00F15FA5"/>
    <w:rsid w:val="00F209B7"/>
    <w:rsid w:val="00F2376F"/>
    <w:rsid w:val="00F243D8"/>
    <w:rsid w:val="00F30828"/>
    <w:rsid w:val="00F313D6"/>
    <w:rsid w:val="00F330D4"/>
    <w:rsid w:val="00F40F0C"/>
    <w:rsid w:val="00F4766C"/>
    <w:rsid w:val="00F507D1"/>
    <w:rsid w:val="00F519CE"/>
    <w:rsid w:val="00F51ADA"/>
    <w:rsid w:val="00F541CA"/>
    <w:rsid w:val="00F56165"/>
    <w:rsid w:val="00F571E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AF"/>
    <w:rsid w:val="00F90F8D"/>
    <w:rsid w:val="00F92782"/>
    <w:rsid w:val="00F93AA9"/>
    <w:rsid w:val="00F96985"/>
    <w:rsid w:val="00F97838"/>
    <w:rsid w:val="00FA2BB3"/>
    <w:rsid w:val="00FB4C80"/>
    <w:rsid w:val="00FB6A6A"/>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B72"/>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43B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3B7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customStyle="1" w:styleId="ReferenceChar">
    <w:name w:val="Reference Char"/>
    <w:link w:val="Reference"/>
    <w:rsid w:val="00DC1614"/>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E830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100880475">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200828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5NUHHDQN7SK2-1476151046-17572</_dlc_DocId>
    <_dlc_DocIdUrl xmlns="f166a696-7b5b-4ccd-9f0c-ffde0cceec81">
      <Url>https://ericsson.sharepoint.com/sites/star/_layouts/15/DocIdRedir.aspx?ID=5NUHHDQN7SK2-1476151046-17572</Url>
      <Description>5NUHHDQN7SK2-1476151046-17572</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46BB0-11EC-4ED2-BC52-F637905F44A3}">
  <ds:schemaRefs>
    <ds:schemaRef ds:uri="http://schemas.microsoft.com/sharepoint/v3/contenttype/forms"/>
  </ds:schemaRefs>
</ds:datastoreItem>
</file>

<file path=customXml/itemProps2.xml><?xml version="1.0" encoding="utf-8"?>
<ds:datastoreItem xmlns:ds="http://schemas.openxmlformats.org/officeDocument/2006/customXml" ds:itemID="{90BE0287-BFA9-4286-B445-BB5DBFE28DDD}">
  <ds:schemaRefs>
    <ds:schemaRef ds:uri="http://schemas.microsoft.com/sharepoint/events"/>
  </ds:schemaRefs>
</ds:datastoreItem>
</file>

<file path=customXml/itemProps3.xml><?xml version="1.0" encoding="utf-8"?>
<ds:datastoreItem xmlns:ds="http://schemas.openxmlformats.org/officeDocument/2006/customXml" ds:itemID="{22F59E9C-8E7C-4959-B56C-5C0CD05B9A9A}">
  <ds:schemaRefs>
    <ds:schemaRef ds:uri="Microsoft.SharePoint.Taxonomy.ContentTypeSync"/>
  </ds:schemaRefs>
</ds:datastoreItem>
</file>

<file path=customXml/itemProps4.xml><?xml version="1.0" encoding="utf-8"?>
<ds:datastoreItem xmlns:ds="http://schemas.openxmlformats.org/officeDocument/2006/customXml" ds:itemID="{271DA3C8-88CC-4FE1-9991-799420FAF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2A7A08-F1AC-4DB8-8D2A-9FDD4504ED4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80B6EF4-42D2-428C-8948-F2FC988E5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2018-01-12T16:22:00Z</dcterms:created>
  <dcterms:modified xsi:type="dcterms:W3CDTF">2018-11-02T23:05:00Z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22f582d4-f641-4adf-97db-05a7c5aaffc2</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